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ED28A6F" w14:textId="73194DD3" w:rsidR="009F784B" w:rsidRPr="00FD004D" w:rsidRDefault="00B447A6" w:rsidP="00FD004D">
      <w:pPr>
        <w:pStyle w:val="Heading1"/>
        <w:spacing w:line="276" w:lineRule="auto"/>
        <w:jc w:val="both"/>
        <w:rPr>
          <w:rFonts w:ascii="Andalus" w:hAnsi="Andalus" w:cs="Andalus"/>
          <w:color w:val="00B050"/>
          <w:sz w:val="40"/>
          <w:szCs w:val="40"/>
          <w:bdr w:val="none" w:sz="0" w:space="0" w:color="auto" w:frame="1"/>
        </w:rPr>
      </w:pPr>
      <w:bookmarkStart w:id="0" w:name="_GoBack"/>
      <w:bookmarkEnd w:id="0"/>
      <w:r w:rsidRPr="00FD004D">
        <w:rPr>
          <w:rFonts w:ascii="Andalus" w:hAnsi="Andalus" w:cs="Andalus"/>
          <w:color w:val="00B050"/>
          <w:sz w:val="40"/>
          <w:szCs w:val="40"/>
          <w:bdr w:val="none" w:sz="0" w:space="0" w:color="auto" w:frame="1"/>
        </w:rPr>
        <w:t>No 33</w:t>
      </w:r>
      <w:r w:rsidR="009F784B" w:rsidRPr="00FD004D">
        <w:rPr>
          <w:rFonts w:ascii="Andalus" w:hAnsi="Andalus" w:cs="Andalus"/>
          <w:color w:val="00B050"/>
          <w:sz w:val="40"/>
          <w:szCs w:val="40"/>
          <w:bdr w:val="none" w:sz="0" w:space="0" w:color="auto" w:frame="1"/>
        </w:rPr>
        <w:t xml:space="preserve"> (</w:t>
      </w:r>
      <w:r w:rsidR="00F153B1">
        <w:rPr>
          <w:rFonts w:ascii="Andalus" w:hAnsi="Andalus" w:cs="Andalus"/>
          <w:color w:val="00B050"/>
          <w:sz w:val="40"/>
          <w:szCs w:val="40"/>
          <w:bdr w:val="none" w:sz="0" w:space="0" w:color="auto" w:frame="1"/>
        </w:rPr>
        <w:t>Summer</w:t>
      </w:r>
      <w:r w:rsidRPr="00FD004D">
        <w:rPr>
          <w:rFonts w:ascii="Andalus" w:hAnsi="Andalus" w:cs="Andalus"/>
          <w:color w:val="00B050"/>
          <w:sz w:val="40"/>
          <w:szCs w:val="40"/>
          <w:bdr w:val="none" w:sz="0" w:space="0" w:color="auto" w:frame="1"/>
        </w:rPr>
        <w:t xml:space="preserve"> </w:t>
      </w:r>
      <w:r w:rsidR="00166C50" w:rsidRPr="00FD004D">
        <w:rPr>
          <w:rFonts w:ascii="Andalus" w:hAnsi="Andalus" w:cs="Andalus"/>
          <w:color w:val="00B050"/>
          <w:sz w:val="40"/>
          <w:szCs w:val="40"/>
          <w:bdr w:val="none" w:sz="0" w:space="0" w:color="auto" w:frame="1"/>
        </w:rPr>
        <w:t>2016</w:t>
      </w:r>
      <w:r w:rsidR="009F784B" w:rsidRPr="00FD004D">
        <w:rPr>
          <w:rFonts w:ascii="Andalus" w:hAnsi="Andalus" w:cs="Andalus"/>
          <w:color w:val="00B050"/>
          <w:sz w:val="40"/>
          <w:szCs w:val="40"/>
          <w:bdr w:val="none" w:sz="0" w:space="0" w:color="auto" w:frame="1"/>
        </w:rPr>
        <w:t>)</w:t>
      </w:r>
    </w:p>
    <w:p w14:paraId="3429020D" w14:textId="77777777" w:rsidR="004F6961" w:rsidRPr="00FD004D" w:rsidRDefault="004F6961" w:rsidP="00FD004D">
      <w:pPr>
        <w:spacing w:line="276" w:lineRule="auto"/>
        <w:jc w:val="both"/>
        <w:rPr>
          <w:rFonts w:ascii="Andalus" w:hAnsi="Andalus" w:cs="Andalus"/>
          <w:sz w:val="48"/>
          <w:szCs w:val="48"/>
          <w:bdr w:val="none" w:sz="0" w:space="0" w:color="auto" w:frame="1"/>
          <w:lang w:eastAsia="en-AU"/>
        </w:rPr>
      </w:pPr>
    </w:p>
    <w:p w14:paraId="2E158F2E" w14:textId="77777777" w:rsidR="009F784B" w:rsidRPr="00FD004D" w:rsidRDefault="009F784B" w:rsidP="00FD004D">
      <w:pPr>
        <w:spacing w:line="276" w:lineRule="auto"/>
        <w:jc w:val="both"/>
        <w:rPr>
          <w:rFonts w:ascii="Andalus" w:hAnsi="Andalus" w:cs="Andalus"/>
          <w:b/>
          <w:color w:val="FF0000"/>
          <w:sz w:val="32"/>
          <w:szCs w:val="32"/>
          <w:bdr w:val="none" w:sz="0" w:space="0" w:color="auto" w:frame="1"/>
          <w:lang w:eastAsia="en-AU"/>
        </w:rPr>
      </w:pPr>
      <w:r w:rsidRPr="00FD004D">
        <w:rPr>
          <w:rFonts w:ascii="Andalus" w:hAnsi="Andalus" w:cs="Andalus"/>
          <w:b/>
          <w:color w:val="FF0000"/>
          <w:sz w:val="32"/>
          <w:szCs w:val="32"/>
          <w:bdr w:val="none" w:sz="0" w:space="0" w:color="auto" w:frame="1"/>
          <w:lang w:eastAsia="en-AU"/>
        </w:rPr>
        <w:t>History reports itself</w:t>
      </w:r>
    </w:p>
    <w:p w14:paraId="7A070CE3" w14:textId="5B00FFD9" w:rsidR="00125527" w:rsidRPr="00FD004D" w:rsidRDefault="00125527" w:rsidP="00FD004D">
      <w:pPr>
        <w:spacing w:line="276" w:lineRule="auto"/>
        <w:jc w:val="both"/>
        <w:rPr>
          <w:rFonts w:ascii="Andalus" w:hAnsi="Andalus" w:cs="Andalus"/>
          <w:sz w:val="48"/>
          <w:szCs w:val="48"/>
          <w:lang w:eastAsia="en-AU"/>
        </w:rPr>
      </w:pPr>
    </w:p>
    <w:p w14:paraId="721CA572" w14:textId="4824310F" w:rsidR="00FD004D" w:rsidRDefault="003F5D1A" w:rsidP="00FD004D">
      <w:pPr>
        <w:spacing w:line="276" w:lineRule="auto"/>
        <w:jc w:val="both"/>
        <w:rPr>
          <w:rFonts w:ascii="Andalus" w:hAnsi="Andalus" w:cs="Andalus"/>
          <w:sz w:val="26"/>
          <w:szCs w:val="26"/>
          <w:lang w:eastAsia="en-AU"/>
        </w:rPr>
      </w:pPr>
      <w:r w:rsidRPr="00FD004D">
        <w:rPr>
          <w:rFonts w:ascii="Andalus" w:hAnsi="Andalus" w:cs="Andalus"/>
          <w:sz w:val="26"/>
          <w:szCs w:val="26"/>
          <w:lang w:eastAsia="en-AU"/>
        </w:rPr>
        <w:t xml:space="preserve">Lawyers talk </w:t>
      </w:r>
      <w:r w:rsidR="00FD004D">
        <w:rPr>
          <w:rFonts w:ascii="Andalus" w:hAnsi="Andalus" w:cs="Andalus"/>
          <w:sz w:val="26"/>
          <w:szCs w:val="26"/>
          <w:lang w:eastAsia="en-AU"/>
        </w:rPr>
        <w:t xml:space="preserve">of the importance of certainty, of conventions. This is particularly prevalent in business law, </w:t>
      </w:r>
      <w:r w:rsidR="00F153B1">
        <w:rPr>
          <w:rFonts w:ascii="Andalus" w:hAnsi="Andalus" w:cs="Andalus"/>
          <w:sz w:val="26"/>
          <w:szCs w:val="26"/>
          <w:lang w:eastAsia="en-AU"/>
        </w:rPr>
        <w:t>which</w:t>
      </w:r>
      <w:r w:rsidR="00FD004D">
        <w:rPr>
          <w:rFonts w:ascii="Andalus" w:hAnsi="Andalus" w:cs="Andalus"/>
          <w:sz w:val="26"/>
          <w:szCs w:val="26"/>
          <w:lang w:eastAsia="en-AU"/>
        </w:rPr>
        <w:t xml:space="preserve"> should not surprise us. In notes to his translation of </w:t>
      </w:r>
      <w:r w:rsidR="00F153B1">
        <w:rPr>
          <w:rFonts w:ascii="Andalus" w:hAnsi="Andalus" w:cs="Andalus"/>
          <w:i/>
          <w:sz w:val="26"/>
          <w:szCs w:val="26"/>
          <w:lang w:eastAsia="en-AU"/>
        </w:rPr>
        <w:t>T</w:t>
      </w:r>
      <w:r w:rsidR="00FD004D" w:rsidRPr="00F153B1">
        <w:rPr>
          <w:rFonts w:ascii="Andalus" w:hAnsi="Andalus" w:cs="Andalus"/>
          <w:i/>
          <w:sz w:val="26"/>
          <w:szCs w:val="26"/>
          <w:lang w:eastAsia="en-AU"/>
        </w:rPr>
        <w:t>he Republic</w:t>
      </w:r>
      <w:r w:rsidR="00FD004D">
        <w:rPr>
          <w:rFonts w:ascii="Andalus" w:hAnsi="Andalus" w:cs="Andalus"/>
          <w:sz w:val="26"/>
          <w:szCs w:val="26"/>
          <w:lang w:eastAsia="en-AU"/>
        </w:rPr>
        <w:t>, Allan Bloom notes:</w:t>
      </w:r>
    </w:p>
    <w:p w14:paraId="2CCB9BC1" w14:textId="77777777" w:rsidR="00F153B1" w:rsidRDefault="00F153B1" w:rsidP="00FD004D">
      <w:pPr>
        <w:spacing w:line="276" w:lineRule="auto"/>
        <w:jc w:val="both"/>
        <w:rPr>
          <w:rFonts w:ascii="Andalus" w:hAnsi="Andalus" w:cs="Andalus"/>
          <w:sz w:val="26"/>
          <w:szCs w:val="26"/>
          <w:lang w:eastAsia="en-AU"/>
        </w:rPr>
      </w:pPr>
    </w:p>
    <w:p w14:paraId="2FD67EA8" w14:textId="77777777" w:rsidR="00FD004D" w:rsidRPr="00F153B1" w:rsidRDefault="00FD004D" w:rsidP="00F153B1">
      <w:pPr>
        <w:spacing w:line="276" w:lineRule="auto"/>
        <w:ind w:left="720"/>
        <w:jc w:val="both"/>
        <w:rPr>
          <w:rFonts w:ascii="Andalus" w:hAnsi="Andalus" w:cs="Andalus"/>
          <w:i/>
          <w:sz w:val="26"/>
          <w:szCs w:val="26"/>
          <w:lang w:eastAsia="en-AU"/>
        </w:rPr>
      </w:pPr>
      <w:r w:rsidRPr="00F153B1">
        <w:rPr>
          <w:rFonts w:ascii="Andalus" w:hAnsi="Andalus" w:cs="Andalus"/>
          <w:i/>
          <w:sz w:val="26"/>
          <w:szCs w:val="26"/>
          <w:lang w:eastAsia="en-AU"/>
        </w:rPr>
        <w:t>The word for “currency” is nomisma. It means something conventional and is derived from the word nomos. A strictly literal translation would be “a conventional [or legal] sign of exchange.” It is to be noted that the first mention of convention, as opposed to nature, within the city has to do with commerce.</w:t>
      </w:r>
    </w:p>
    <w:p w14:paraId="2F7AEA56" w14:textId="77777777" w:rsidR="00F153B1" w:rsidRDefault="00F153B1" w:rsidP="00FD004D">
      <w:pPr>
        <w:spacing w:line="276" w:lineRule="auto"/>
        <w:jc w:val="both"/>
        <w:rPr>
          <w:rFonts w:ascii="Andalus" w:hAnsi="Andalus" w:cs="Andalus"/>
          <w:sz w:val="26"/>
          <w:szCs w:val="26"/>
          <w:lang w:eastAsia="en-AU"/>
        </w:rPr>
      </w:pPr>
    </w:p>
    <w:p w14:paraId="0AE0B314" w14:textId="7F944C49" w:rsidR="00FD004D" w:rsidRDefault="00457E64" w:rsidP="00FD004D">
      <w:pPr>
        <w:spacing w:line="276" w:lineRule="auto"/>
        <w:jc w:val="both"/>
        <w:rPr>
          <w:rFonts w:ascii="Andalus" w:hAnsi="Andalus" w:cs="Andalus"/>
          <w:sz w:val="26"/>
          <w:szCs w:val="26"/>
          <w:lang w:eastAsia="en-AU"/>
        </w:rPr>
      </w:pPr>
      <w:r>
        <w:rPr>
          <w:rFonts w:ascii="Andalus" w:hAnsi="Andalus" w:cs="Andalus"/>
          <w:sz w:val="26"/>
          <w:szCs w:val="26"/>
          <w:lang w:eastAsia="en-AU"/>
        </w:rPr>
        <w:t xml:space="preserve">The bracketed “or legal” is Bloom’s bracketing, not the conventional authorial intrusion.  </w:t>
      </w:r>
    </w:p>
    <w:p w14:paraId="5FE728B9" w14:textId="00029A46" w:rsidR="00457E64" w:rsidRDefault="00457E64" w:rsidP="00FD004D">
      <w:pPr>
        <w:spacing w:line="276" w:lineRule="auto"/>
        <w:jc w:val="both"/>
        <w:rPr>
          <w:rFonts w:ascii="Andalus" w:hAnsi="Andalus" w:cs="Andalus"/>
          <w:sz w:val="26"/>
          <w:szCs w:val="26"/>
          <w:lang w:eastAsia="en-AU"/>
        </w:rPr>
      </w:pPr>
      <w:r>
        <w:rPr>
          <w:rFonts w:ascii="Andalus" w:hAnsi="Andalus" w:cs="Andalus"/>
          <w:sz w:val="26"/>
          <w:szCs w:val="26"/>
          <w:lang w:eastAsia="en-AU"/>
        </w:rPr>
        <w:t>In the currency of 2016, two unconventional but not illegal events took place. More correctly, two very conventional things had two very unconventional outcomes. First, Brexit, a referendum. Second, Mr Trump, an election. Both events were coincidentally “conventions” themselves, in the narrow sense of a place w</w:t>
      </w:r>
      <w:r w:rsidR="00F153B1">
        <w:rPr>
          <w:rFonts w:ascii="Andalus" w:hAnsi="Andalus" w:cs="Andalus"/>
          <w:sz w:val="26"/>
          <w:szCs w:val="26"/>
          <w:lang w:eastAsia="en-AU"/>
        </w:rPr>
        <w:t>here people come together; w</w:t>
      </w:r>
      <w:r>
        <w:rPr>
          <w:rFonts w:ascii="Andalus" w:hAnsi="Andalus" w:cs="Andalus"/>
          <w:sz w:val="26"/>
          <w:szCs w:val="26"/>
          <w:lang w:eastAsia="en-AU"/>
        </w:rPr>
        <w:t xml:space="preserve">hat is more conventional in a democracy than coming together to elect a majority outcome? </w:t>
      </w:r>
    </w:p>
    <w:p w14:paraId="18FDD932" w14:textId="7EE51D35" w:rsidR="00457E64" w:rsidRDefault="00457E64" w:rsidP="00FD004D">
      <w:pPr>
        <w:spacing w:line="276" w:lineRule="auto"/>
        <w:jc w:val="both"/>
        <w:rPr>
          <w:rFonts w:ascii="Andalus" w:hAnsi="Andalus" w:cs="Andalus"/>
          <w:sz w:val="26"/>
          <w:szCs w:val="26"/>
          <w:lang w:eastAsia="en-AU"/>
        </w:rPr>
      </w:pPr>
      <w:r>
        <w:rPr>
          <w:rFonts w:ascii="Andalus" w:hAnsi="Andalus" w:cs="Andalus"/>
          <w:sz w:val="26"/>
          <w:szCs w:val="26"/>
          <w:lang w:eastAsia="en-AU"/>
        </w:rPr>
        <w:t xml:space="preserve">In isolation, the outcomes were majority outcomes, conventional outcomes if you like. In context, much more than the majority of all of us </w:t>
      </w:r>
      <w:r w:rsidRPr="00457E64">
        <w:rPr>
          <w:rFonts w:ascii="Andalus" w:hAnsi="Andalus" w:cs="Andalus"/>
          <w:i/>
          <w:sz w:val="26"/>
          <w:szCs w:val="26"/>
          <w:lang w:eastAsia="en-AU"/>
        </w:rPr>
        <w:t>expected</w:t>
      </w:r>
      <w:r>
        <w:rPr>
          <w:rFonts w:ascii="Andalus" w:hAnsi="Andalus" w:cs="Andalus"/>
          <w:sz w:val="26"/>
          <w:szCs w:val="26"/>
          <w:lang w:eastAsia="en-AU"/>
        </w:rPr>
        <w:t xml:space="preserve"> that the outcomes would be different.</w:t>
      </w:r>
    </w:p>
    <w:p w14:paraId="2B3CF00E" w14:textId="26B279DC" w:rsidR="00457E64" w:rsidRDefault="00457E64" w:rsidP="00FD004D">
      <w:pPr>
        <w:spacing w:line="276" w:lineRule="auto"/>
        <w:jc w:val="both"/>
        <w:rPr>
          <w:rFonts w:ascii="Andalus" w:hAnsi="Andalus" w:cs="Andalus"/>
          <w:sz w:val="26"/>
          <w:szCs w:val="26"/>
          <w:lang w:eastAsia="en-AU"/>
        </w:rPr>
      </w:pPr>
      <w:r>
        <w:rPr>
          <w:rFonts w:ascii="Andalus" w:hAnsi="Andalus" w:cs="Andalus"/>
          <w:sz w:val="26"/>
          <w:szCs w:val="26"/>
          <w:lang w:eastAsia="en-AU"/>
        </w:rPr>
        <w:lastRenderedPageBreak/>
        <w:t>There is nothing much in this for ourselves or, particularly, for legal history. Hoorah for democracy.</w:t>
      </w:r>
    </w:p>
    <w:p w14:paraId="5BD21D14" w14:textId="04975691" w:rsidR="00457E64" w:rsidRDefault="00457E64" w:rsidP="00FD004D">
      <w:pPr>
        <w:spacing w:line="276" w:lineRule="auto"/>
        <w:jc w:val="both"/>
        <w:rPr>
          <w:rFonts w:ascii="Andalus" w:hAnsi="Andalus" w:cs="Andalus"/>
          <w:sz w:val="26"/>
          <w:szCs w:val="26"/>
          <w:lang w:eastAsia="en-AU"/>
        </w:rPr>
      </w:pPr>
      <w:r>
        <w:rPr>
          <w:rFonts w:ascii="Andalus" w:hAnsi="Andalus" w:cs="Andalus"/>
          <w:sz w:val="26"/>
          <w:szCs w:val="26"/>
          <w:lang w:eastAsia="en-AU"/>
        </w:rPr>
        <w:t xml:space="preserve">What does concern me is the number of people whose </w:t>
      </w:r>
      <w:r>
        <w:rPr>
          <w:rFonts w:ascii="Andalus" w:hAnsi="Andalus" w:cs="Andalus"/>
          <w:i/>
          <w:sz w:val="26"/>
          <w:szCs w:val="26"/>
          <w:lang w:eastAsia="en-AU"/>
        </w:rPr>
        <w:t>expectation</w:t>
      </w:r>
      <w:r>
        <w:rPr>
          <w:rFonts w:ascii="Andalus" w:hAnsi="Andalus" w:cs="Andalus"/>
          <w:sz w:val="26"/>
          <w:szCs w:val="26"/>
          <w:lang w:eastAsia="en-AU"/>
        </w:rPr>
        <w:t xml:space="preserve"> found expression as something stronger. Many people I </w:t>
      </w:r>
      <w:r w:rsidR="00F153B1">
        <w:rPr>
          <w:rFonts w:ascii="Andalus" w:hAnsi="Andalus" w:cs="Andalus"/>
          <w:sz w:val="26"/>
          <w:szCs w:val="26"/>
          <w:lang w:eastAsia="en-AU"/>
        </w:rPr>
        <w:t>heard express</w:t>
      </w:r>
      <w:r>
        <w:rPr>
          <w:rFonts w:ascii="Andalus" w:hAnsi="Andalus" w:cs="Andalus"/>
          <w:sz w:val="26"/>
          <w:szCs w:val="26"/>
          <w:lang w:eastAsia="en-AU"/>
        </w:rPr>
        <w:t xml:space="preserve"> more than disappointment. They seemed – at least to me – to be expressing outrage that</w:t>
      </w:r>
      <w:r w:rsidR="00045475">
        <w:rPr>
          <w:rFonts w:ascii="Andalus" w:hAnsi="Andalus" w:cs="Andalus"/>
          <w:sz w:val="26"/>
          <w:szCs w:val="26"/>
          <w:lang w:eastAsia="en-AU"/>
        </w:rPr>
        <w:t xml:space="preserve"> some </w:t>
      </w:r>
      <w:r w:rsidR="00045475">
        <w:rPr>
          <w:rFonts w:ascii="Andalus" w:hAnsi="Andalus" w:cs="Andalus"/>
          <w:i/>
          <w:sz w:val="26"/>
          <w:szCs w:val="26"/>
          <w:lang w:eastAsia="en-AU"/>
        </w:rPr>
        <w:t>right</w:t>
      </w:r>
      <w:r w:rsidR="00045475">
        <w:rPr>
          <w:rFonts w:ascii="Andalus" w:hAnsi="Andalus" w:cs="Andalus"/>
          <w:sz w:val="26"/>
          <w:szCs w:val="26"/>
          <w:lang w:eastAsia="en-AU"/>
        </w:rPr>
        <w:t xml:space="preserve"> had been violated, a right, in their eyes, not to have common sense defeated by populism.</w:t>
      </w:r>
    </w:p>
    <w:p w14:paraId="04763FEC" w14:textId="63D616BE" w:rsidR="00045475" w:rsidRDefault="00045475" w:rsidP="00FD004D">
      <w:pPr>
        <w:spacing w:line="276" w:lineRule="auto"/>
        <w:jc w:val="both"/>
        <w:rPr>
          <w:rFonts w:ascii="Andalus" w:hAnsi="Andalus" w:cs="Andalus"/>
          <w:sz w:val="26"/>
          <w:szCs w:val="26"/>
          <w:lang w:eastAsia="en-AU"/>
        </w:rPr>
      </w:pPr>
      <w:r>
        <w:rPr>
          <w:rFonts w:ascii="Andalus" w:hAnsi="Andalus" w:cs="Andalus"/>
          <w:sz w:val="26"/>
          <w:szCs w:val="26"/>
          <w:lang w:eastAsia="en-AU"/>
        </w:rPr>
        <w:t>The belief that someone else’s beliefs exist merely to attack my rights is a belief as old as history. Or at least legal history. Sometimes it is a justifiable belief. The delicious  and dangerous delight of democracy is that it is only a means, not an ends; it justifies nothing, le</w:t>
      </w:r>
      <w:r w:rsidR="00F153B1">
        <w:rPr>
          <w:rFonts w:ascii="Andalus" w:hAnsi="Andalus" w:cs="Andalus"/>
          <w:sz w:val="26"/>
          <w:szCs w:val="26"/>
          <w:lang w:eastAsia="en-AU"/>
        </w:rPr>
        <w:t>ast of all the ends; mandates were made to be broken. Democracy, then, may be inherently unconventional, although I don’t think I can be deft enough to conclude that Plato held democracy as the best and most natural of the orders of things!</w:t>
      </w:r>
    </w:p>
    <w:p w14:paraId="463B6E4E" w14:textId="66399F94" w:rsidR="000F118B" w:rsidRDefault="000F118B" w:rsidP="00FD004D">
      <w:pPr>
        <w:spacing w:line="276" w:lineRule="auto"/>
        <w:jc w:val="both"/>
        <w:rPr>
          <w:rFonts w:ascii="Andalus" w:hAnsi="Andalus" w:cs="Andalus"/>
          <w:sz w:val="26"/>
          <w:szCs w:val="26"/>
          <w:lang w:eastAsia="en-AU"/>
        </w:rPr>
      </w:pPr>
      <w:r>
        <w:rPr>
          <w:rFonts w:ascii="Andalus" w:hAnsi="Andalus" w:cs="Andalus"/>
          <w:sz w:val="26"/>
          <w:szCs w:val="26"/>
          <w:lang w:eastAsia="en-AU"/>
        </w:rPr>
        <w:t>This truncated seasonal edition comes from a campsite in Denmark on WA’s southern coastline. It is pouring with rain and yet, as my wife said to me last night, people manage politeness in a way that would give rise to suspicion in cities. This is our regional convention, I suppose. Another regional convention was the form of adjudication on our goldfields. What follows is a book review of Society member John Hamilton’s take on this part of our legal history. Or perhaps protolegal history.</w:t>
      </w:r>
    </w:p>
    <w:p w14:paraId="493736AE" w14:textId="44FDEE77" w:rsidR="000F118B" w:rsidRPr="00045475" w:rsidRDefault="000F118B" w:rsidP="00FD004D">
      <w:pPr>
        <w:spacing w:line="276" w:lineRule="auto"/>
        <w:jc w:val="both"/>
        <w:rPr>
          <w:rFonts w:ascii="Andalus" w:hAnsi="Andalus" w:cs="Andalus"/>
          <w:sz w:val="26"/>
          <w:szCs w:val="26"/>
          <w:lang w:eastAsia="en-AU"/>
        </w:rPr>
      </w:pPr>
      <w:r>
        <w:rPr>
          <w:rFonts w:ascii="Andalus" w:hAnsi="Andalus" w:cs="Andalus"/>
          <w:sz w:val="26"/>
          <w:szCs w:val="26"/>
          <w:lang w:eastAsia="en-AU"/>
        </w:rPr>
        <w:t>The next edition of the Flyer will appear in February</w:t>
      </w:r>
      <w:r w:rsidR="00F153B1">
        <w:rPr>
          <w:rFonts w:ascii="Andalus" w:hAnsi="Andalus" w:cs="Andalus"/>
          <w:sz w:val="26"/>
          <w:szCs w:val="26"/>
          <w:lang w:eastAsia="en-AU"/>
        </w:rPr>
        <w:t xml:space="preserve">. Thereafter we are </w:t>
      </w:r>
      <w:r>
        <w:rPr>
          <w:rFonts w:ascii="Andalus" w:hAnsi="Andalus" w:cs="Andalus"/>
          <w:sz w:val="26"/>
          <w:szCs w:val="26"/>
          <w:lang w:eastAsia="en-AU"/>
        </w:rPr>
        <w:t xml:space="preserve">back to quarterly. Best wishes for 2017. I see that Carrie Fisher has died. We were lucky to see her show of reminiscences in Sydney a few years ago. </w:t>
      </w:r>
      <w:r w:rsidR="00F153B1">
        <w:rPr>
          <w:rFonts w:ascii="Andalus" w:hAnsi="Andalus" w:cs="Andalus"/>
          <w:sz w:val="26"/>
          <w:szCs w:val="26"/>
          <w:lang w:eastAsia="en-AU"/>
        </w:rPr>
        <w:t>May the Force be with You, but may it be followed by a rule of law.</w:t>
      </w:r>
    </w:p>
    <w:p w14:paraId="770CB798" w14:textId="77777777" w:rsidR="000F118B" w:rsidRDefault="000F118B" w:rsidP="00FD004D">
      <w:pPr>
        <w:spacing w:line="276" w:lineRule="auto"/>
        <w:jc w:val="both"/>
        <w:rPr>
          <w:rFonts w:ascii="Andalus" w:hAnsi="Andalus" w:cs="Andalus"/>
          <w:b/>
          <w:i/>
          <w:color w:val="538135" w:themeColor="accent6" w:themeShade="BF"/>
          <w:sz w:val="26"/>
          <w:szCs w:val="26"/>
          <w:bdr w:val="none" w:sz="0" w:space="0" w:color="auto" w:frame="1"/>
          <w:lang w:eastAsia="en-AU"/>
        </w:rPr>
      </w:pPr>
    </w:p>
    <w:p w14:paraId="6FDCA6E6" w14:textId="77777777" w:rsidR="004F6961" w:rsidRPr="00FD004D" w:rsidRDefault="004F6961" w:rsidP="00FD004D">
      <w:pPr>
        <w:spacing w:line="276" w:lineRule="auto"/>
        <w:jc w:val="both"/>
        <w:rPr>
          <w:rFonts w:ascii="Andalus" w:hAnsi="Andalus" w:cs="Andalus"/>
          <w:b/>
          <w:i/>
          <w:color w:val="538135" w:themeColor="accent6" w:themeShade="BF"/>
          <w:sz w:val="26"/>
          <w:szCs w:val="26"/>
          <w:bdr w:val="none" w:sz="0" w:space="0" w:color="auto" w:frame="1"/>
          <w:lang w:eastAsia="en-AU"/>
        </w:rPr>
      </w:pPr>
      <w:r w:rsidRPr="00FD004D">
        <w:rPr>
          <w:rFonts w:ascii="Andalus" w:hAnsi="Andalus" w:cs="Andalus"/>
          <w:b/>
          <w:i/>
          <w:color w:val="538135" w:themeColor="accent6" w:themeShade="BF"/>
          <w:sz w:val="26"/>
          <w:szCs w:val="26"/>
          <w:bdr w:val="none" w:sz="0" w:space="0" w:color="auto" w:frame="1"/>
          <w:lang w:eastAsia="en-AU"/>
        </w:rPr>
        <w:t>David Ash, Editor</w:t>
      </w:r>
    </w:p>
    <w:p w14:paraId="1EF87010" w14:textId="3BEFD9FF" w:rsidR="00FD433D" w:rsidRPr="00FD004D" w:rsidRDefault="00FD433D" w:rsidP="00FD004D">
      <w:pPr>
        <w:spacing w:line="276" w:lineRule="auto"/>
        <w:jc w:val="both"/>
        <w:rPr>
          <w:rFonts w:ascii="Andalus" w:hAnsi="Andalus" w:cs="Andalus"/>
          <w:sz w:val="48"/>
          <w:szCs w:val="48"/>
        </w:rPr>
      </w:pPr>
    </w:p>
    <w:p w14:paraId="0E27C8CD" w14:textId="035F469A" w:rsidR="009F784B" w:rsidRPr="00FD004D" w:rsidRDefault="00FD004D" w:rsidP="00FD004D">
      <w:pPr>
        <w:spacing w:line="276" w:lineRule="auto"/>
        <w:jc w:val="both"/>
        <w:rPr>
          <w:rFonts w:ascii="Andalus" w:hAnsi="Andalus" w:cs="Andalus"/>
          <w:b/>
          <w:color w:val="FF0000"/>
          <w:sz w:val="32"/>
          <w:szCs w:val="32"/>
          <w:bdr w:val="none" w:sz="0" w:space="0" w:color="auto" w:frame="1"/>
          <w:lang w:eastAsia="en-AU"/>
        </w:rPr>
      </w:pPr>
      <w:r w:rsidRPr="00FD004D">
        <w:rPr>
          <w:rFonts w:ascii="Andalus" w:hAnsi="Andalus" w:cs="Andalus"/>
          <w:b/>
          <w:color w:val="FF0000"/>
          <w:sz w:val="32"/>
          <w:szCs w:val="32"/>
          <w:bdr w:val="none" w:sz="0" w:space="0" w:color="auto" w:frame="1"/>
          <w:lang w:eastAsia="en-AU"/>
        </w:rPr>
        <w:lastRenderedPageBreak/>
        <w:t>Book review</w:t>
      </w:r>
    </w:p>
    <w:p w14:paraId="072BBE1D" w14:textId="77777777" w:rsidR="004F6961" w:rsidRPr="00FD004D" w:rsidRDefault="004F6961" w:rsidP="00FD004D">
      <w:pPr>
        <w:spacing w:line="276" w:lineRule="auto"/>
        <w:jc w:val="both"/>
        <w:rPr>
          <w:rFonts w:ascii="Andalus" w:hAnsi="Andalus" w:cs="Andalus"/>
          <w:sz w:val="48"/>
          <w:szCs w:val="48"/>
          <w:bdr w:val="none" w:sz="0" w:space="0" w:color="auto" w:frame="1"/>
          <w:lang w:eastAsia="en-AU"/>
        </w:rPr>
      </w:pPr>
    </w:p>
    <w:p w14:paraId="792445E7" w14:textId="77777777" w:rsidR="00FD004D" w:rsidRPr="00F153B1" w:rsidRDefault="00A315D4" w:rsidP="00FD004D">
      <w:pPr>
        <w:spacing w:line="360" w:lineRule="auto"/>
        <w:jc w:val="both"/>
        <w:rPr>
          <w:rFonts w:ascii="Andalus" w:hAnsi="Andalus" w:cs="Andalus"/>
          <w:i/>
          <w:sz w:val="26"/>
          <w:szCs w:val="26"/>
          <w:lang w:eastAsia="en-AU"/>
        </w:rPr>
      </w:pPr>
      <w:r w:rsidRPr="00F153B1">
        <w:rPr>
          <w:rFonts w:ascii="Andalus" w:hAnsi="Andalus" w:cs="Andalus"/>
          <w:i/>
          <w:sz w:val="26"/>
          <w:szCs w:val="26"/>
          <w:lang w:eastAsia="en-AU"/>
        </w:rPr>
        <w:t xml:space="preserve">John P Hamilton, Adjudication on the Gold Fields in New South Wales and Victoria in the 19th Century, 2015, The Federation Press. </w:t>
      </w:r>
    </w:p>
    <w:p w14:paraId="1755E9D0" w14:textId="77777777" w:rsidR="00F153B1" w:rsidRDefault="00F153B1" w:rsidP="00FD004D">
      <w:pPr>
        <w:spacing w:line="360" w:lineRule="auto"/>
        <w:jc w:val="both"/>
        <w:rPr>
          <w:rFonts w:ascii="Andalus" w:hAnsi="Andalus" w:cs="Andalus"/>
          <w:sz w:val="26"/>
          <w:szCs w:val="26"/>
          <w:lang w:eastAsia="en-AU"/>
        </w:rPr>
      </w:pPr>
    </w:p>
    <w:p w14:paraId="57CFE9BF" w14:textId="7F9AA573" w:rsidR="00A315D4" w:rsidRPr="00FD004D" w:rsidRDefault="00A315D4" w:rsidP="00FD004D">
      <w:pPr>
        <w:spacing w:line="360" w:lineRule="auto"/>
        <w:jc w:val="both"/>
        <w:rPr>
          <w:rFonts w:ascii="Andalus" w:hAnsi="Andalus" w:cs="Andalus"/>
          <w:sz w:val="26"/>
          <w:szCs w:val="26"/>
          <w:lang w:eastAsia="en-AU"/>
        </w:rPr>
      </w:pPr>
      <w:r w:rsidRPr="00FD004D">
        <w:rPr>
          <w:rFonts w:ascii="Andalus" w:hAnsi="Andalus" w:cs="Andalus"/>
          <w:sz w:val="26"/>
          <w:szCs w:val="26"/>
          <w:lang w:eastAsia="en-AU"/>
        </w:rPr>
        <w:t xml:space="preserve">To view the publisher’s page, click </w:t>
      </w:r>
      <w:hyperlink r:id="rId8" w:history="1">
        <w:r w:rsidRPr="00FD004D">
          <w:rPr>
            <w:rStyle w:val="Hyperlink"/>
            <w:rFonts w:ascii="Andalus" w:eastAsia="Times New Roman" w:hAnsi="Andalus" w:cs="Andalus"/>
            <w:kern w:val="36"/>
            <w:sz w:val="26"/>
            <w:szCs w:val="26"/>
            <w:lang w:eastAsia="en-AU"/>
          </w:rPr>
          <w:t>here</w:t>
        </w:r>
      </w:hyperlink>
      <w:r w:rsidRPr="00FD004D">
        <w:rPr>
          <w:rFonts w:ascii="Andalus" w:hAnsi="Andalus" w:cs="Andalus"/>
          <w:sz w:val="26"/>
          <w:szCs w:val="26"/>
          <w:lang w:eastAsia="en-AU"/>
        </w:rPr>
        <w:t>.</w:t>
      </w:r>
    </w:p>
    <w:p w14:paraId="5E472890" w14:textId="77777777" w:rsidR="00A315D4" w:rsidRPr="00FD004D" w:rsidRDefault="00A315D4" w:rsidP="00FD004D">
      <w:pPr>
        <w:spacing w:line="360" w:lineRule="auto"/>
        <w:jc w:val="both"/>
        <w:rPr>
          <w:rFonts w:ascii="Andalus" w:hAnsi="Andalus" w:cs="Andalus"/>
          <w:i/>
          <w:iCs/>
          <w:sz w:val="26"/>
          <w:szCs w:val="26"/>
          <w:lang w:val="en"/>
        </w:rPr>
      </w:pPr>
    </w:p>
    <w:p w14:paraId="6AEC16E5" w14:textId="77777777" w:rsidR="00A315D4" w:rsidRPr="00FD004D" w:rsidRDefault="00A315D4" w:rsidP="00F153B1">
      <w:pPr>
        <w:spacing w:line="360" w:lineRule="auto"/>
        <w:jc w:val="right"/>
        <w:rPr>
          <w:rFonts w:ascii="Andalus" w:hAnsi="Andalus" w:cs="Andalus"/>
          <w:i/>
          <w:iCs/>
          <w:sz w:val="26"/>
          <w:szCs w:val="26"/>
          <w:lang w:val="en"/>
        </w:rPr>
      </w:pPr>
      <w:r w:rsidRPr="00FD004D">
        <w:rPr>
          <w:rFonts w:ascii="Andalus" w:hAnsi="Andalus" w:cs="Andalus"/>
          <w:i/>
          <w:iCs/>
          <w:sz w:val="26"/>
          <w:szCs w:val="26"/>
          <w:lang w:val="en"/>
        </w:rPr>
        <w:t>if gold ruste, what shal iren do?</w:t>
      </w:r>
    </w:p>
    <w:p w14:paraId="7E372F52" w14:textId="77777777" w:rsidR="00A315D4" w:rsidRPr="00FD004D" w:rsidRDefault="00A315D4" w:rsidP="00F153B1">
      <w:pPr>
        <w:spacing w:line="360" w:lineRule="auto"/>
        <w:jc w:val="right"/>
        <w:rPr>
          <w:rFonts w:ascii="Andalus" w:hAnsi="Andalus" w:cs="Andalus"/>
          <w:i/>
          <w:iCs/>
          <w:sz w:val="26"/>
          <w:szCs w:val="26"/>
          <w:lang w:val="en"/>
        </w:rPr>
      </w:pPr>
      <w:r w:rsidRPr="00FD004D">
        <w:rPr>
          <w:rStyle w:val="Emphasis"/>
          <w:rFonts w:ascii="Andalus" w:hAnsi="Andalus" w:cs="Andalus"/>
          <w:sz w:val="26"/>
          <w:szCs w:val="26"/>
          <w:lang w:val="en"/>
        </w:rPr>
        <w:t>The Canterbury Tales</w:t>
      </w:r>
      <w:r w:rsidRPr="00FD004D">
        <w:rPr>
          <w:rFonts w:ascii="Andalus" w:hAnsi="Andalus" w:cs="Andalus"/>
          <w:i/>
          <w:iCs/>
          <w:sz w:val="26"/>
          <w:szCs w:val="26"/>
          <w:lang w:val="en"/>
        </w:rPr>
        <w:t xml:space="preserve"> (General Prologue)</w:t>
      </w:r>
    </w:p>
    <w:p w14:paraId="261F5ECB" w14:textId="77777777" w:rsidR="00A315D4" w:rsidRPr="00FD004D" w:rsidRDefault="00A315D4" w:rsidP="00FD004D">
      <w:pPr>
        <w:spacing w:line="360" w:lineRule="auto"/>
        <w:jc w:val="both"/>
        <w:rPr>
          <w:rFonts w:ascii="Andalus" w:hAnsi="Andalus" w:cs="Andalus"/>
          <w:iCs/>
          <w:sz w:val="26"/>
          <w:szCs w:val="26"/>
          <w:lang w:val="en"/>
        </w:rPr>
      </w:pPr>
    </w:p>
    <w:p w14:paraId="1C844AEB" w14:textId="77777777" w:rsidR="00A315D4" w:rsidRPr="00FD004D" w:rsidRDefault="00A315D4" w:rsidP="00FD004D">
      <w:pPr>
        <w:spacing w:line="360" w:lineRule="auto"/>
        <w:jc w:val="both"/>
        <w:rPr>
          <w:rFonts w:ascii="Andalus" w:hAnsi="Andalus" w:cs="Andalus"/>
          <w:iCs/>
          <w:sz w:val="26"/>
          <w:szCs w:val="26"/>
          <w:lang w:val="en"/>
        </w:rPr>
      </w:pPr>
      <w:r w:rsidRPr="00FD004D">
        <w:rPr>
          <w:rFonts w:ascii="Andalus" w:hAnsi="Andalus" w:cs="Andalus"/>
          <w:iCs/>
          <w:sz w:val="26"/>
          <w:szCs w:val="26"/>
          <w:lang w:val="en"/>
        </w:rPr>
        <w:t>The banner of the Eureka Stockade is Australia’s symbol of rebellion, and often advanced as a suitable flag for the Republic of Australia. The rebellion’s most revolutionary effect to date is that it wrought a royal commission whose report was actually adopted by the government of the day.</w:t>
      </w:r>
    </w:p>
    <w:p w14:paraId="1A3AE38E" w14:textId="77777777" w:rsidR="00A315D4" w:rsidRPr="00FD004D" w:rsidRDefault="00A315D4" w:rsidP="00FD004D">
      <w:pPr>
        <w:spacing w:line="360" w:lineRule="auto"/>
        <w:jc w:val="both"/>
        <w:rPr>
          <w:rFonts w:ascii="Andalus" w:hAnsi="Andalus" w:cs="Andalus"/>
          <w:iCs/>
          <w:sz w:val="26"/>
          <w:szCs w:val="26"/>
          <w:lang w:val="en"/>
        </w:rPr>
      </w:pPr>
      <w:r w:rsidRPr="00FD004D">
        <w:rPr>
          <w:rFonts w:ascii="Andalus" w:hAnsi="Andalus" w:cs="Andalus"/>
          <w:iCs/>
          <w:sz w:val="26"/>
          <w:szCs w:val="26"/>
          <w:lang w:val="en"/>
        </w:rPr>
        <w:t>John Hamilton is a lawyer, a former member of the New South Wales Supreme Court. His short and effective work is not a romance but a necessary record of the role of adjudication in the early years of our local gold fields.</w:t>
      </w:r>
    </w:p>
    <w:p w14:paraId="60386B51" w14:textId="77777777" w:rsidR="00A315D4" w:rsidRPr="00FD004D" w:rsidRDefault="00A315D4" w:rsidP="00FD004D">
      <w:pPr>
        <w:spacing w:line="360" w:lineRule="auto"/>
        <w:jc w:val="both"/>
        <w:rPr>
          <w:rFonts w:ascii="Andalus" w:hAnsi="Andalus" w:cs="Andalus"/>
          <w:iCs/>
          <w:sz w:val="26"/>
          <w:szCs w:val="26"/>
          <w:lang w:val="en"/>
        </w:rPr>
      </w:pPr>
      <w:r w:rsidRPr="00FD004D">
        <w:rPr>
          <w:rFonts w:ascii="Andalus" w:hAnsi="Andalus" w:cs="Andalus"/>
          <w:iCs/>
          <w:sz w:val="26"/>
          <w:szCs w:val="26"/>
          <w:lang w:val="en"/>
        </w:rPr>
        <w:t>The 49ers have not always been the San Francisco professional football team. They were named for the prospectors who landed in California in and around 1849. There, complex national politics percolated through in the following year, with the region soon admitted to the union as a free state as part of the Compromise. Yet national complexity was largely unrelated to the local but notorious lawlessness of the goldfields.</w:t>
      </w:r>
    </w:p>
    <w:p w14:paraId="6F79ED1F" w14:textId="77777777" w:rsidR="00A315D4" w:rsidRPr="00FD004D" w:rsidRDefault="00A315D4" w:rsidP="00FD004D">
      <w:pPr>
        <w:spacing w:line="360" w:lineRule="auto"/>
        <w:jc w:val="both"/>
        <w:rPr>
          <w:rFonts w:ascii="Andalus" w:hAnsi="Andalus" w:cs="Andalus"/>
          <w:iCs/>
          <w:sz w:val="26"/>
          <w:szCs w:val="26"/>
          <w:lang w:val="en"/>
        </w:rPr>
      </w:pPr>
      <w:r w:rsidRPr="00FD004D">
        <w:rPr>
          <w:rFonts w:ascii="Andalus" w:hAnsi="Andalus" w:cs="Andalus"/>
          <w:iCs/>
          <w:sz w:val="26"/>
          <w:szCs w:val="26"/>
          <w:lang w:val="en"/>
        </w:rPr>
        <w:t>The story in Australia is different. Edward Hargraves’s discovery received press from 10 May 1851, while Victoria would be separated from New South Wales on 1 July 1851. This book is about not one but two methods of adjudication by two different authorities.</w:t>
      </w:r>
    </w:p>
    <w:p w14:paraId="338AB147" w14:textId="77777777" w:rsidR="00A315D4" w:rsidRPr="00FD004D" w:rsidRDefault="00A315D4" w:rsidP="00FD004D">
      <w:pPr>
        <w:spacing w:line="360" w:lineRule="auto"/>
        <w:jc w:val="both"/>
        <w:rPr>
          <w:rFonts w:ascii="Andalus" w:hAnsi="Andalus" w:cs="Andalus"/>
          <w:sz w:val="26"/>
          <w:szCs w:val="26"/>
        </w:rPr>
      </w:pPr>
      <w:r w:rsidRPr="00FD004D">
        <w:rPr>
          <w:rFonts w:ascii="Andalus" w:hAnsi="Andalus" w:cs="Andalus"/>
          <w:sz w:val="26"/>
          <w:szCs w:val="26"/>
        </w:rPr>
        <w:t>Beyond the book’s historical value and perhaps by virtue of it, Hamilton’s work is also about the rule of law itself. We lawyers and lay in our complex and sophisticated society may tend to think that the rule of law is a prerequisite of society, or at least a civilised society (if that is not a tautology)? But where does the idea of adjudication sit? Is it necessary to have a court or a set of rules – whether by the common law or by regulation – before people judge each other? Surely the position is the reverse. We begin by judging each other and then bring in rules to provide, among other valuable things, a consistency in our judgments.</w:t>
      </w:r>
    </w:p>
    <w:p w14:paraId="6ABFC3BC" w14:textId="77777777" w:rsidR="00A315D4" w:rsidRPr="00FD004D" w:rsidRDefault="00A315D4" w:rsidP="00FD004D">
      <w:pPr>
        <w:spacing w:line="360" w:lineRule="auto"/>
        <w:jc w:val="both"/>
        <w:rPr>
          <w:rFonts w:ascii="Andalus" w:hAnsi="Andalus" w:cs="Andalus"/>
          <w:sz w:val="26"/>
          <w:szCs w:val="26"/>
        </w:rPr>
      </w:pPr>
      <w:r w:rsidRPr="00FD004D">
        <w:rPr>
          <w:rFonts w:ascii="Andalus" w:hAnsi="Andalus" w:cs="Andalus"/>
          <w:sz w:val="26"/>
          <w:szCs w:val="26"/>
        </w:rPr>
        <w:t xml:space="preserve">And it was with adjudication that NSW and Victoria parted company. </w:t>
      </w:r>
    </w:p>
    <w:p w14:paraId="59C5066C" w14:textId="77777777" w:rsidR="00A315D4" w:rsidRPr="00FD004D" w:rsidRDefault="00A315D4" w:rsidP="00FD004D">
      <w:pPr>
        <w:spacing w:line="360" w:lineRule="auto"/>
        <w:jc w:val="both"/>
        <w:rPr>
          <w:rFonts w:ascii="Andalus" w:hAnsi="Andalus" w:cs="Andalus"/>
          <w:sz w:val="26"/>
          <w:szCs w:val="26"/>
        </w:rPr>
      </w:pPr>
      <w:r w:rsidRPr="00FD004D">
        <w:rPr>
          <w:rFonts w:ascii="Andalus" w:hAnsi="Andalus" w:cs="Andalus"/>
          <w:sz w:val="26"/>
          <w:szCs w:val="26"/>
        </w:rPr>
        <w:t>Parenthetically, Australia has had an interesting time with t</w:t>
      </w:r>
      <w:r w:rsidRPr="00FD004D">
        <w:rPr>
          <w:rFonts w:ascii="Andalus" w:hAnsi="Andalus" w:cs="Andalus"/>
          <w:iCs/>
          <w:sz w:val="26"/>
          <w:szCs w:val="26"/>
          <w:lang w:val="en"/>
        </w:rPr>
        <w:t xml:space="preserve">he idea of “adjudication”. Our constitution provides for a great novelty, an Inter-State Commission charged with powers of “adjudication”, yet in 1915 the High Court held that this meant it couldn’t adjudicate. Well, that’s what I think it held, or more correctly, that’s how Sir Isaac Isaacs beat Sir Edmund Barton on a point they’d disputed since pre-federation days. Professor Colin Howard puts it rather neatly when he said </w:t>
      </w:r>
      <w:r w:rsidRPr="00FD004D">
        <w:rPr>
          <w:rFonts w:ascii="Andalus" w:hAnsi="Andalus" w:cs="Andalus"/>
          <w:sz w:val="26"/>
          <w:szCs w:val="26"/>
        </w:rPr>
        <w:t>‘The High Court disposed of the invasion of its own area of interest by deciding that [the Constitution] did not mean what it said.’</w:t>
      </w:r>
    </w:p>
    <w:p w14:paraId="61157996" w14:textId="77777777" w:rsidR="00A315D4" w:rsidRPr="00FD004D" w:rsidRDefault="00A315D4" w:rsidP="00FD004D">
      <w:pPr>
        <w:spacing w:line="360" w:lineRule="auto"/>
        <w:jc w:val="both"/>
        <w:rPr>
          <w:rFonts w:ascii="Andalus" w:hAnsi="Andalus" w:cs="Andalus"/>
          <w:sz w:val="26"/>
          <w:szCs w:val="26"/>
        </w:rPr>
      </w:pPr>
      <w:r w:rsidRPr="00FD004D">
        <w:rPr>
          <w:rFonts w:ascii="Andalus" w:hAnsi="Andalus" w:cs="Andalus"/>
          <w:sz w:val="26"/>
          <w:szCs w:val="26"/>
        </w:rPr>
        <w:t>This book is an historical monograph in the most valuable sense, something which focuses upon a hitherto unexploited aspect of a wider and more generally understood period and at the same time throws new and refreshing light on that understanding.</w:t>
      </w:r>
    </w:p>
    <w:p w14:paraId="0FE663DC" w14:textId="77777777" w:rsidR="00A315D4" w:rsidRPr="00FD004D" w:rsidRDefault="00A315D4" w:rsidP="00FD004D">
      <w:pPr>
        <w:spacing w:line="360" w:lineRule="auto"/>
        <w:jc w:val="both"/>
        <w:rPr>
          <w:rFonts w:ascii="Andalus" w:hAnsi="Andalus" w:cs="Andalus"/>
          <w:sz w:val="26"/>
          <w:szCs w:val="26"/>
        </w:rPr>
      </w:pPr>
    </w:p>
    <w:p w14:paraId="1491A5C6" w14:textId="77777777" w:rsidR="00A315D4" w:rsidRPr="00FD004D" w:rsidRDefault="00A315D4" w:rsidP="00FD004D">
      <w:pPr>
        <w:spacing w:line="360" w:lineRule="auto"/>
        <w:jc w:val="both"/>
        <w:rPr>
          <w:rFonts w:ascii="Andalus" w:hAnsi="Andalus" w:cs="Andalus"/>
          <w:sz w:val="26"/>
          <w:szCs w:val="26"/>
        </w:rPr>
      </w:pPr>
      <w:r w:rsidRPr="00FD004D">
        <w:rPr>
          <w:rFonts w:ascii="Andalus" w:hAnsi="Andalus" w:cs="Andalus"/>
          <w:noProof/>
          <w:sz w:val="26"/>
          <w:szCs w:val="26"/>
          <w:lang w:eastAsia="en-AU"/>
        </w:rPr>
        <w:drawing>
          <wp:inline distT="0" distB="0" distL="0" distR="0" wp14:anchorId="32914EE8" wp14:editId="0B8CFA0B">
            <wp:extent cx="3009900" cy="4010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99933-holtermann-collection.jpg"/>
                    <pic:cNvPicPr/>
                  </pic:nvPicPr>
                  <pic:blipFill>
                    <a:blip r:embed="rId9">
                      <a:extLst>
                        <a:ext uri="{28A0092B-C50C-407E-A947-70E740481C1C}">
                          <a14:useLocalDpi xmlns:a14="http://schemas.microsoft.com/office/drawing/2010/main" val="0"/>
                        </a:ext>
                      </a:extLst>
                    </a:blip>
                    <a:stretch>
                      <a:fillRect/>
                    </a:stretch>
                  </pic:blipFill>
                  <pic:spPr>
                    <a:xfrm>
                      <a:off x="0" y="0"/>
                      <a:ext cx="3009900" cy="4010025"/>
                    </a:xfrm>
                    <a:prstGeom prst="rect">
                      <a:avLst/>
                    </a:prstGeom>
                  </pic:spPr>
                </pic:pic>
              </a:graphicData>
            </a:graphic>
          </wp:inline>
        </w:drawing>
      </w:r>
    </w:p>
    <w:p w14:paraId="3525DD47" w14:textId="77777777" w:rsidR="00F153B1" w:rsidRPr="00F153B1" w:rsidRDefault="00F153B1" w:rsidP="00F153B1">
      <w:pPr>
        <w:spacing w:line="360" w:lineRule="auto"/>
        <w:jc w:val="both"/>
        <w:rPr>
          <w:rFonts w:ascii="Andalus" w:hAnsi="Andalus" w:cs="Andalus"/>
          <w:b/>
          <w:sz w:val="18"/>
          <w:szCs w:val="18"/>
        </w:rPr>
      </w:pPr>
      <w:r w:rsidRPr="00F153B1">
        <w:rPr>
          <w:rFonts w:ascii="Andalus" w:hAnsi="Andalus" w:cs="Andalus"/>
          <w:b/>
          <w:sz w:val="18"/>
          <w:szCs w:val="18"/>
        </w:rPr>
        <w:t>The bookcover is “Holtermann”, Cedric Flower’s version of the pose usually adopted by Bernard Holtermann when being photograped with the nugget he found at Hill End near Bathurst. Holtermann was himself a photographer of note and one our more famous Germans, along with Ludwig Leichhardt. He had a mansion in the Sydney suburb of St Leonards and with that odd patriotism which accompanies dual citizenship named his seventh and last child St Leonard Leichardt Ratchford Holterman.</w:t>
      </w:r>
    </w:p>
    <w:p w14:paraId="11E2803B" w14:textId="77777777" w:rsidR="00F153B1" w:rsidRPr="00FD004D" w:rsidRDefault="0035295E" w:rsidP="00FD004D">
      <w:pPr>
        <w:spacing w:line="276" w:lineRule="auto"/>
        <w:jc w:val="both"/>
        <w:rPr>
          <w:rFonts w:ascii="Andalus" w:hAnsi="Andalus" w:cs="Andalus"/>
          <w:sz w:val="48"/>
          <w:szCs w:val="48"/>
          <w:lang w:eastAsia="en-AU"/>
        </w:rPr>
      </w:pPr>
      <w:r>
        <w:rPr>
          <w:rFonts w:ascii="Andalus" w:hAnsi="Andalus" w:cs="Andalus"/>
          <w:sz w:val="48"/>
          <w:szCs w:val="48"/>
          <w:lang w:eastAsia="en-AU"/>
        </w:rPr>
        <w:pict w14:anchorId="752C4849">
          <v:rect id="_x0000_i1025" style="width:148.95pt;height:.75pt" o:hrpct="330" o:hralign="center" o:hrstd="t" o:hr="t" fillcolor="#a0a0a0" stroked="f"/>
        </w:pict>
      </w:r>
    </w:p>
    <w:p w14:paraId="613FAECF" w14:textId="714C298A" w:rsidR="0094776D" w:rsidRDefault="0094776D" w:rsidP="00FD004D">
      <w:pPr>
        <w:spacing w:line="276" w:lineRule="auto"/>
        <w:jc w:val="both"/>
        <w:rPr>
          <w:rFonts w:ascii="Andalus" w:hAnsi="Andalus" w:cs="Andalus"/>
          <w:sz w:val="48"/>
          <w:szCs w:val="48"/>
          <w:lang w:eastAsia="en-AU"/>
        </w:rPr>
      </w:pPr>
    </w:p>
    <w:p w14:paraId="61936893" w14:textId="77777777" w:rsidR="00F153B1" w:rsidRPr="00FD004D" w:rsidRDefault="00F153B1" w:rsidP="00FD004D">
      <w:pPr>
        <w:spacing w:line="276" w:lineRule="auto"/>
        <w:jc w:val="both"/>
        <w:rPr>
          <w:rFonts w:ascii="Andalus" w:hAnsi="Andalus" w:cs="Andalus"/>
          <w:sz w:val="48"/>
          <w:szCs w:val="48"/>
          <w:lang w:eastAsia="en-AU"/>
        </w:rPr>
      </w:pPr>
    </w:p>
    <w:sectPr w:rsidR="00F153B1" w:rsidRPr="00FD00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09828" w14:textId="77777777" w:rsidR="002038EB" w:rsidRDefault="002038EB" w:rsidP="009F784B">
      <w:pPr>
        <w:spacing w:after="0" w:line="240" w:lineRule="auto"/>
      </w:pPr>
      <w:r>
        <w:separator/>
      </w:r>
    </w:p>
  </w:endnote>
  <w:endnote w:type="continuationSeparator" w:id="0">
    <w:p w14:paraId="142F60D4" w14:textId="77777777" w:rsidR="002038EB" w:rsidRDefault="002038EB" w:rsidP="009F7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SmBd">
    <w:charset w:val="00"/>
    <w:family w:val="auto"/>
    <w:pitch w:val="variable"/>
    <w:sig w:usb0="00000003" w:usb1="00000000" w:usb2="00000000" w:usb3="00000000" w:csb0="00000001" w:csb1="00000000"/>
  </w:font>
  <w:font w:name="Bauer Bodoni Std">
    <w:altName w:val="Bauer Bodoni Std"/>
    <w:panose1 w:val="00000000000000000000"/>
    <w:charset w:val="00"/>
    <w:family w:val="roman"/>
    <w:notTrueType/>
    <w:pitch w:val="default"/>
    <w:sig w:usb0="00000003" w:usb1="00000000" w:usb2="00000000" w:usb3="00000000" w:csb0="00000001" w:csb1="00000000"/>
  </w:font>
  <w:font w:name="Minion Pro">
    <w:charset w:val="00"/>
    <w:family w:val="auto"/>
    <w:pitch w:val="variable"/>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 w:name="Minion Bold">
    <w:altName w:val="Minion Bold"/>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ndalus">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B7DF5" w14:textId="77777777" w:rsidR="002038EB" w:rsidRDefault="002038EB" w:rsidP="009F784B">
      <w:pPr>
        <w:spacing w:after="0" w:line="240" w:lineRule="auto"/>
      </w:pPr>
      <w:r>
        <w:separator/>
      </w:r>
    </w:p>
  </w:footnote>
  <w:footnote w:type="continuationSeparator" w:id="0">
    <w:p w14:paraId="6DB0E997" w14:textId="77777777" w:rsidR="002038EB" w:rsidRDefault="002038EB" w:rsidP="009F7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47A27"/>
    <w:multiLevelType w:val="multilevel"/>
    <w:tmpl w:val="FAFC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402AA9"/>
    <w:multiLevelType w:val="multilevel"/>
    <w:tmpl w:val="C622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083B0D"/>
    <w:multiLevelType w:val="hybridMultilevel"/>
    <w:tmpl w:val="62605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75E2DD0"/>
    <w:multiLevelType w:val="hybridMultilevel"/>
    <w:tmpl w:val="68F03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D2133BA"/>
    <w:multiLevelType w:val="hybridMultilevel"/>
    <w:tmpl w:val="4B986B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0DD76C1"/>
    <w:multiLevelType w:val="hybridMultilevel"/>
    <w:tmpl w:val="2382A850"/>
    <w:lvl w:ilvl="0" w:tplc="A96ADC0C">
      <w:start w:val="1"/>
      <w:numFmt w:val="bullet"/>
      <w:lvlText w:val="•"/>
      <w:lvlJc w:val="left"/>
      <w:pPr>
        <w:tabs>
          <w:tab w:val="num" w:pos="720"/>
        </w:tabs>
        <w:ind w:left="720" w:hanging="360"/>
      </w:pPr>
      <w:rPr>
        <w:rFonts w:ascii="Arial" w:hAnsi="Arial" w:hint="default"/>
      </w:rPr>
    </w:lvl>
    <w:lvl w:ilvl="1" w:tplc="31029F2E" w:tentative="1">
      <w:start w:val="1"/>
      <w:numFmt w:val="bullet"/>
      <w:lvlText w:val="•"/>
      <w:lvlJc w:val="left"/>
      <w:pPr>
        <w:tabs>
          <w:tab w:val="num" w:pos="1440"/>
        </w:tabs>
        <w:ind w:left="1440" w:hanging="360"/>
      </w:pPr>
      <w:rPr>
        <w:rFonts w:ascii="Arial" w:hAnsi="Arial" w:hint="default"/>
      </w:rPr>
    </w:lvl>
    <w:lvl w:ilvl="2" w:tplc="37ECE728" w:tentative="1">
      <w:start w:val="1"/>
      <w:numFmt w:val="bullet"/>
      <w:lvlText w:val="•"/>
      <w:lvlJc w:val="left"/>
      <w:pPr>
        <w:tabs>
          <w:tab w:val="num" w:pos="2160"/>
        </w:tabs>
        <w:ind w:left="2160" w:hanging="360"/>
      </w:pPr>
      <w:rPr>
        <w:rFonts w:ascii="Arial" w:hAnsi="Arial" w:hint="default"/>
      </w:rPr>
    </w:lvl>
    <w:lvl w:ilvl="3" w:tplc="75A2283C" w:tentative="1">
      <w:start w:val="1"/>
      <w:numFmt w:val="bullet"/>
      <w:lvlText w:val="•"/>
      <w:lvlJc w:val="left"/>
      <w:pPr>
        <w:tabs>
          <w:tab w:val="num" w:pos="2880"/>
        </w:tabs>
        <w:ind w:left="2880" w:hanging="360"/>
      </w:pPr>
      <w:rPr>
        <w:rFonts w:ascii="Arial" w:hAnsi="Arial" w:hint="default"/>
      </w:rPr>
    </w:lvl>
    <w:lvl w:ilvl="4" w:tplc="F7C0115C" w:tentative="1">
      <w:start w:val="1"/>
      <w:numFmt w:val="bullet"/>
      <w:lvlText w:val="•"/>
      <w:lvlJc w:val="left"/>
      <w:pPr>
        <w:tabs>
          <w:tab w:val="num" w:pos="3600"/>
        </w:tabs>
        <w:ind w:left="3600" w:hanging="360"/>
      </w:pPr>
      <w:rPr>
        <w:rFonts w:ascii="Arial" w:hAnsi="Arial" w:hint="default"/>
      </w:rPr>
    </w:lvl>
    <w:lvl w:ilvl="5" w:tplc="47808406" w:tentative="1">
      <w:start w:val="1"/>
      <w:numFmt w:val="bullet"/>
      <w:lvlText w:val="•"/>
      <w:lvlJc w:val="left"/>
      <w:pPr>
        <w:tabs>
          <w:tab w:val="num" w:pos="4320"/>
        </w:tabs>
        <w:ind w:left="4320" w:hanging="360"/>
      </w:pPr>
      <w:rPr>
        <w:rFonts w:ascii="Arial" w:hAnsi="Arial" w:hint="default"/>
      </w:rPr>
    </w:lvl>
    <w:lvl w:ilvl="6" w:tplc="64D0DA8C" w:tentative="1">
      <w:start w:val="1"/>
      <w:numFmt w:val="bullet"/>
      <w:lvlText w:val="•"/>
      <w:lvlJc w:val="left"/>
      <w:pPr>
        <w:tabs>
          <w:tab w:val="num" w:pos="5040"/>
        </w:tabs>
        <w:ind w:left="5040" w:hanging="360"/>
      </w:pPr>
      <w:rPr>
        <w:rFonts w:ascii="Arial" w:hAnsi="Arial" w:hint="default"/>
      </w:rPr>
    </w:lvl>
    <w:lvl w:ilvl="7" w:tplc="D716F946" w:tentative="1">
      <w:start w:val="1"/>
      <w:numFmt w:val="bullet"/>
      <w:lvlText w:val="•"/>
      <w:lvlJc w:val="left"/>
      <w:pPr>
        <w:tabs>
          <w:tab w:val="num" w:pos="5760"/>
        </w:tabs>
        <w:ind w:left="5760" w:hanging="360"/>
      </w:pPr>
      <w:rPr>
        <w:rFonts w:ascii="Arial" w:hAnsi="Arial" w:hint="default"/>
      </w:rPr>
    </w:lvl>
    <w:lvl w:ilvl="8" w:tplc="7C8A397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0831A5E"/>
    <w:multiLevelType w:val="multilevel"/>
    <w:tmpl w:val="59EE7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84B"/>
    <w:rsid w:val="00045475"/>
    <w:rsid w:val="000F118B"/>
    <w:rsid w:val="00125527"/>
    <w:rsid w:val="00141048"/>
    <w:rsid w:val="00157BB3"/>
    <w:rsid w:val="00163648"/>
    <w:rsid w:val="00166C50"/>
    <w:rsid w:val="00170A03"/>
    <w:rsid w:val="001F5829"/>
    <w:rsid w:val="002038EB"/>
    <w:rsid w:val="00226631"/>
    <w:rsid w:val="00267E49"/>
    <w:rsid w:val="00285A83"/>
    <w:rsid w:val="002C74FD"/>
    <w:rsid w:val="0035295E"/>
    <w:rsid w:val="003778BC"/>
    <w:rsid w:val="0038308A"/>
    <w:rsid w:val="003F5D1A"/>
    <w:rsid w:val="00432D21"/>
    <w:rsid w:val="00457E64"/>
    <w:rsid w:val="00496CA2"/>
    <w:rsid w:val="004F6961"/>
    <w:rsid w:val="00553BBD"/>
    <w:rsid w:val="0055601F"/>
    <w:rsid w:val="006C0F80"/>
    <w:rsid w:val="00777CBD"/>
    <w:rsid w:val="00796440"/>
    <w:rsid w:val="008E084A"/>
    <w:rsid w:val="009367C8"/>
    <w:rsid w:val="0094776D"/>
    <w:rsid w:val="009F784B"/>
    <w:rsid w:val="00A315D4"/>
    <w:rsid w:val="00A648F7"/>
    <w:rsid w:val="00A967B1"/>
    <w:rsid w:val="00B376EB"/>
    <w:rsid w:val="00B447A6"/>
    <w:rsid w:val="00B45BA5"/>
    <w:rsid w:val="00C121AE"/>
    <w:rsid w:val="00D21F7C"/>
    <w:rsid w:val="00D430B2"/>
    <w:rsid w:val="00E13564"/>
    <w:rsid w:val="00E4242F"/>
    <w:rsid w:val="00EA36EE"/>
    <w:rsid w:val="00F153B1"/>
    <w:rsid w:val="00FD004D"/>
    <w:rsid w:val="00FD433D"/>
    <w:rsid w:val="00FD7DE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EEE322"/>
  <w15:docId w15:val="{BB4440B6-4DE5-4CDA-BA75-7C9806EBA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84B"/>
  </w:style>
  <w:style w:type="paragraph" w:styleId="Heading1">
    <w:name w:val="heading 1"/>
    <w:basedOn w:val="Normal"/>
    <w:link w:val="Heading1Char"/>
    <w:uiPriority w:val="9"/>
    <w:qFormat/>
    <w:rsid w:val="00FD43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285A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D43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85A8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85A8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784B"/>
    <w:rPr>
      <w:color w:val="0000FF"/>
      <w:u w:val="single"/>
    </w:rPr>
  </w:style>
  <w:style w:type="paragraph" w:styleId="FootnoteText">
    <w:name w:val="footnote text"/>
    <w:basedOn w:val="Normal"/>
    <w:link w:val="FootnoteTextChar"/>
    <w:uiPriority w:val="99"/>
    <w:semiHidden/>
    <w:unhideWhenUsed/>
    <w:rsid w:val="009F78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84B"/>
    <w:rPr>
      <w:sz w:val="20"/>
      <w:szCs w:val="20"/>
    </w:rPr>
  </w:style>
  <w:style w:type="character" w:styleId="FootnoteReference">
    <w:name w:val="footnote reference"/>
    <w:basedOn w:val="DefaultParagraphFont"/>
    <w:uiPriority w:val="99"/>
    <w:semiHidden/>
    <w:unhideWhenUsed/>
    <w:rsid w:val="009F784B"/>
    <w:rPr>
      <w:vertAlign w:val="superscript"/>
    </w:rPr>
  </w:style>
  <w:style w:type="character" w:styleId="FollowedHyperlink">
    <w:name w:val="FollowedHyperlink"/>
    <w:basedOn w:val="DefaultParagraphFont"/>
    <w:uiPriority w:val="99"/>
    <w:semiHidden/>
    <w:unhideWhenUsed/>
    <w:rsid w:val="009F784B"/>
    <w:rPr>
      <w:color w:val="954F72" w:themeColor="followedHyperlink"/>
      <w:u w:val="single"/>
    </w:rPr>
  </w:style>
  <w:style w:type="paragraph" w:styleId="ListParagraph">
    <w:name w:val="List Paragraph"/>
    <w:basedOn w:val="Normal"/>
    <w:uiPriority w:val="34"/>
    <w:qFormat/>
    <w:rsid w:val="00496CA2"/>
    <w:pPr>
      <w:ind w:left="720"/>
      <w:contextualSpacing/>
    </w:pPr>
  </w:style>
  <w:style w:type="paragraph" w:customStyle="1" w:styleId="Default">
    <w:name w:val="Default"/>
    <w:rsid w:val="00C121AE"/>
    <w:pPr>
      <w:autoSpaceDE w:val="0"/>
      <w:autoSpaceDN w:val="0"/>
      <w:adjustRightInd w:val="0"/>
      <w:spacing w:after="0" w:line="240" w:lineRule="auto"/>
    </w:pPr>
    <w:rPr>
      <w:rFonts w:ascii="Minion Pro SmBd" w:hAnsi="Minion Pro SmBd" w:cs="Minion Pro SmBd"/>
      <w:color w:val="000000"/>
      <w:sz w:val="24"/>
      <w:szCs w:val="24"/>
    </w:rPr>
  </w:style>
  <w:style w:type="paragraph" w:customStyle="1" w:styleId="Pa0">
    <w:name w:val="Pa0"/>
    <w:basedOn w:val="Default"/>
    <w:next w:val="Default"/>
    <w:uiPriority w:val="99"/>
    <w:rsid w:val="00C121AE"/>
    <w:pPr>
      <w:spacing w:line="241" w:lineRule="atLeast"/>
    </w:pPr>
    <w:rPr>
      <w:rFonts w:cstheme="minorBidi"/>
      <w:color w:val="auto"/>
    </w:rPr>
  </w:style>
  <w:style w:type="character" w:customStyle="1" w:styleId="A0">
    <w:name w:val="A0"/>
    <w:uiPriority w:val="99"/>
    <w:rsid w:val="00C121AE"/>
    <w:rPr>
      <w:rFonts w:cs="Minion Pro SmBd"/>
      <w:b/>
      <w:bCs/>
      <w:color w:val="000000"/>
      <w:sz w:val="28"/>
      <w:szCs w:val="28"/>
    </w:rPr>
  </w:style>
  <w:style w:type="paragraph" w:customStyle="1" w:styleId="Pa1">
    <w:name w:val="Pa1"/>
    <w:basedOn w:val="Default"/>
    <w:next w:val="Default"/>
    <w:uiPriority w:val="99"/>
    <w:rsid w:val="00C121AE"/>
    <w:pPr>
      <w:spacing w:line="241" w:lineRule="atLeast"/>
    </w:pPr>
    <w:rPr>
      <w:rFonts w:cstheme="minorBidi"/>
      <w:color w:val="auto"/>
    </w:rPr>
  </w:style>
  <w:style w:type="character" w:customStyle="1" w:styleId="A1">
    <w:name w:val="A1"/>
    <w:uiPriority w:val="99"/>
    <w:rsid w:val="00C121AE"/>
    <w:rPr>
      <w:rFonts w:ascii="Bauer Bodoni Std" w:hAnsi="Bauer Bodoni Std" w:cs="Bauer Bodoni Std"/>
      <w:b/>
      <w:bCs/>
      <w:i/>
      <w:iCs/>
      <w:color w:val="000000"/>
      <w:sz w:val="66"/>
      <w:szCs w:val="66"/>
    </w:rPr>
  </w:style>
  <w:style w:type="paragraph" w:customStyle="1" w:styleId="Pa3">
    <w:name w:val="Pa3"/>
    <w:basedOn w:val="Default"/>
    <w:next w:val="Default"/>
    <w:uiPriority w:val="99"/>
    <w:rsid w:val="00C121AE"/>
    <w:pPr>
      <w:spacing w:line="241" w:lineRule="atLeast"/>
    </w:pPr>
    <w:rPr>
      <w:rFonts w:cstheme="minorBidi"/>
      <w:color w:val="auto"/>
    </w:rPr>
  </w:style>
  <w:style w:type="character" w:customStyle="1" w:styleId="A5">
    <w:name w:val="A5"/>
    <w:uiPriority w:val="99"/>
    <w:rsid w:val="00C121AE"/>
    <w:rPr>
      <w:rFonts w:ascii="Minion Pro" w:hAnsi="Minion Pro" w:cs="Minion Pro"/>
      <w:b/>
      <w:bCs/>
      <w:i/>
      <w:iCs/>
      <w:color w:val="000000"/>
      <w:sz w:val="22"/>
      <w:szCs w:val="22"/>
    </w:rPr>
  </w:style>
  <w:style w:type="paragraph" w:customStyle="1" w:styleId="Pa5">
    <w:name w:val="Pa5"/>
    <w:basedOn w:val="Default"/>
    <w:next w:val="Default"/>
    <w:uiPriority w:val="99"/>
    <w:rsid w:val="00C121AE"/>
    <w:pPr>
      <w:spacing w:line="241" w:lineRule="atLeast"/>
    </w:pPr>
    <w:rPr>
      <w:rFonts w:cstheme="minorBidi"/>
      <w:color w:val="auto"/>
    </w:rPr>
  </w:style>
  <w:style w:type="character" w:customStyle="1" w:styleId="A6">
    <w:name w:val="A6"/>
    <w:uiPriority w:val="99"/>
    <w:rsid w:val="00C121AE"/>
    <w:rPr>
      <w:rFonts w:ascii="Gotham Medium" w:hAnsi="Gotham Medium" w:cs="Gotham Medium"/>
      <w:color w:val="000000"/>
      <w:sz w:val="12"/>
      <w:szCs w:val="12"/>
    </w:rPr>
  </w:style>
  <w:style w:type="paragraph" w:customStyle="1" w:styleId="Pa8">
    <w:name w:val="Pa8"/>
    <w:basedOn w:val="Default"/>
    <w:next w:val="Default"/>
    <w:uiPriority w:val="99"/>
    <w:rsid w:val="00C121AE"/>
    <w:pPr>
      <w:spacing w:line="241" w:lineRule="atLeast"/>
    </w:pPr>
    <w:rPr>
      <w:rFonts w:cstheme="minorBidi"/>
      <w:color w:val="auto"/>
    </w:rPr>
  </w:style>
  <w:style w:type="character" w:customStyle="1" w:styleId="A12">
    <w:name w:val="A12"/>
    <w:uiPriority w:val="99"/>
    <w:rsid w:val="00C121AE"/>
    <w:rPr>
      <w:rFonts w:ascii="Minion Bold" w:hAnsi="Minion Bold" w:cs="Minion Bold"/>
      <w:b/>
      <w:bCs/>
      <w:i/>
      <w:iCs/>
      <w:color w:val="000000"/>
    </w:rPr>
  </w:style>
  <w:style w:type="paragraph" w:styleId="NormalWeb">
    <w:name w:val="Normal (Web)"/>
    <w:basedOn w:val="Normal"/>
    <w:uiPriority w:val="99"/>
    <w:semiHidden/>
    <w:unhideWhenUsed/>
    <w:rsid w:val="00A648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A648F7"/>
  </w:style>
  <w:style w:type="character" w:customStyle="1" w:styleId="Heading1Char">
    <w:name w:val="Heading 1 Char"/>
    <w:basedOn w:val="DefaultParagraphFont"/>
    <w:link w:val="Heading1"/>
    <w:uiPriority w:val="9"/>
    <w:rsid w:val="00FD433D"/>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semiHidden/>
    <w:rsid w:val="00FD433D"/>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iPriority w:val="99"/>
    <w:semiHidden/>
    <w:unhideWhenUsed/>
    <w:rsid w:val="00377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3778BC"/>
    <w:rPr>
      <w:rFonts w:ascii="Courier New" w:eastAsia="Times New Roman" w:hAnsi="Courier New" w:cs="Courier New"/>
      <w:sz w:val="20"/>
      <w:szCs w:val="20"/>
      <w:lang w:eastAsia="en-AU"/>
    </w:rPr>
  </w:style>
  <w:style w:type="character" w:customStyle="1" w:styleId="Heading2Char">
    <w:name w:val="Heading 2 Char"/>
    <w:basedOn w:val="DefaultParagraphFont"/>
    <w:link w:val="Heading2"/>
    <w:uiPriority w:val="9"/>
    <w:semiHidden/>
    <w:rsid w:val="00285A83"/>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85A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85A83"/>
    <w:rPr>
      <w:rFonts w:asciiTheme="majorHAnsi" w:eastAsiaTheme="majorEastAsia" w:hAnsiTheme="majorHAnsi" w:cstheme="majorBidi"/>
      <w:color w:val="2E74B5" w:themeColor="accent1" w:themeShade="BF"/>
    </w:rPr>
  </w:style>
  <w:style w:type="paragraph" w:styleId="Header">
    <w:name w:val="header"/>
    <w:basedOn w:val="Normal"/>
    <w:link w:val="HeaderChar"/>
    <w:uiPriority w:val="99"/>
    <w:unhideWhenUsed/>
    <w:rsid w:val="007964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440"/>
  </w:style>
  <w:style w:type="paragraph" w:styleId="Footer">
    <w:name w:val="footer"/>
    <w:basedOn w:val="Normal"/>
    <w:link w:val="FooterChar"/>
    <w:uiPriority w:val="99"/>
    <w:unhideWhenUsed/>
    <w:rsid w:val="007964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440"/>
  </w:style>
  <w:style w:type="paragraph" w:styleId="BalloonText">
    <w:name w:val="Balloon Text"/>
    <w:basedOn w:val="Normal"/>
    <w:link w:val="BalloonTextChar"/>
    <w:uiPriority w:val="99"/>
    <w:semiHidden/>
    <w:unhideWhenUsed/>
    <w:rsid w:val="0038308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308A"/>
    <w:rPr>
      <w:rFonts w:ascii="Lucida Grande" w:hAnsi="Lucida Grande" w:cs="Lucida Grande"/>
      <w:sz w:val="18"/>
      <w:szCs w:val="18"/>
    </w:rPr>
  </w:style>
  <w:style w:type="paragraph" w:styleId="NoSpacing">
    <w:name w:val="No Spacing"/>
    <w:basedOn w:val="Normal"/>
    <w:uiPriority w:val="1"/>
    <w:qFormat/>
    <w:rsid w:val="008E084A"/>
    <w:pPr>
      <w:spacing w:before="100" w:beforeAutospacing="1" w:after="100" w:afterAutospacing="1" w:line="240" w:lineRule="auto"/>
    </w:pPr>
    <w:rPr>
      <w:rFonts w:ascii="Times New Roman" w:hAnsi="Times New Roman" w:cs="Times New Roman"/>
      <w:sz w:val="24"/>
      <w:szCs w:val="24"/>
      <w:lang w:eastAsia="en-AU"/>
    </w:rPr>
  </w:style>
  <w:style w:type="character" w:styleId="Emphasis">
    <w:name w:val="Emphasis"/>
    <w:basedOn w:val="DefaultParagraphFont"/>
    <w:uiPriority w:val="20"/>
    <w:qFormat/>
    <w:rsid w:val="00A315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30754">
      <w:bodyDiv w:val="1"/>
      <w:marLeft w:val="0"/>
      <w:marRight w:val="0"/>
      <w:marTop w:val="0"/>
      <w:marBottom w:val="0"/>
      <w:divBdr>
        <w:top w:val="none" w:sz="0" w:space="0" w:color="auto"/>
        <w:left w:val="none" w:sz="0" w:space="0" w:color="auto"/>
        <w:bottom w:val="none" w:sz="0" w:space="0" w:color="auto"/>
        <w:right w:val="none" w:sz="0" w:space="0" w:color="auto"/>
      </w:divBdr>
    </w:div>
    <w:div w:id="141771503">
      <w:bodyDiv w:val="1"/>
      <w:marLeft w:val="0"/>
      <w:marRight w:val="0"/>
      <w:marTop w:val="0"/>
      <w:marBottom w:val="0"/>
      <w:divBdr>
        <w:top w:val="none" w:sz="0" w:space="0" w:color="auto"/>
        <w:left w:val="none" w:sz="0" w:space="0" w:color="auto"/>
        <w:bottom w:val="none" w:sz="0" w:space="0" w:color="auto"/>
        <w:right w:val="none" w:sz="0" w:space="0" w:color="auto"/>
      </w:divBdr>
    </w:div>
    <w:div w:id="287131216">
      <w:bodyDiv w:val="1"/>
      <w:marLeft w:val="0"/>
      <w:marRight w:val="0"/>
      <w:marTop w:val="0"/>
      <w:marBottom w:val="0"/>
      <w:divBdr>
        <w:top w:val="none" w:sz="0" w:space="0" w:color="auto"/>
        <w:left w:val="none" w:sz="0" w:space="0" w:color="auto"/>
        <w:bottom w:val="none" w:sz="0" w:space="0" w:color="auto"/>
        <w:right w:val="none" w:sz="0" w:space="0" w:color="auto"/>
      </w:divBdr>
    </w:div>
    <w:div w:id="797141014">
      <w:bodyDiv w:val="1"/>
      <w:marLeft w:val="0"/>
      <w:marRight w:val="0"/>
      <w:marTop w:val="0"/>
      <w:marBottom w:val="0"/>
      <w:divBdr>
        <w:top w:val="none" w:sz="0" w:space="0" w:color="auto"/>
        <w:left w:val="none" w:sz="0" w:space="0" w:color="auto"/>
        <w:bottom w:val="none" w:sz="0" w:space="0" w:color="auto"/>
        <w:right w:val="none" w:sz="0" w:space="0" w:color="auto"/>
      </w:divBdr>
    </w:div>
    <w:div w:id="1118642631">
      <w:bodyDiv w:val="1"/>
      <w:marLeft w:val="0"/>
      <w:marRight w:val="0"/>
      <w:marTop w:val="0"/>
      <w:marBottom w:val="0"/>
      <w:divBdr>
        <w:top w:val="none" w:sz="0" w:space="0" w:color="auto"/>
        <w:left w:val="none" w:sz="0" w:space="0" w:color="auto"/>
        <w:bottom w:val="none" w:sz="0" w:space="0" w:color="auto"/>
        <w:right w:val="none" w:sz="0" w:space="0" w:color="auto"/>
      </w:divBdr>
    </w:div>
    <w:div w:id="1245802183">
      <w:bodyDiv w:val="1"/>
      <w:marLeft w:val="0"/>
      <w:marRight w:val="0"/>
      <w:marTop w:val="0"/>
      <w:marBottom w:val="0"/>
      <w:divBdr>
        <w:top w:val="none" w:sz="0" w:space="0" w:color="auto"/>
        <w:left w:val="none" w:sz="0" w:space="0" w:color="auto"/>
        <w:bottom w:val="none" w:sz="0" w:space="0" w:color="auto"/>
        <w:right w:val="none" w:sz="0" w:space="0" w:color="auto"/>
      </w:divBdr>
    </w:div>
    <w:div w:id="1441141024">
      <w:bodyDiv w:val="1"/>
      <w:marLeft w:val="0"/>
      <w:marRight w:val="0"/>
      <w:marTop w:val="0"/>
      <w:marBottom w:val="0"/>
      <w:divBdr>
        <w:top w:val="none" w:sz="0" w:space="0" w:color="auto"/>
        <w:left w:val="none" w:sz="0" w:space="0" w:color="auto"/>
        <w:bottom w:val="none" w:sz="0" w:space="0" w:color="auto"/>
        <w:right w:val="none" w:sz="0" w:space="0" w:color="auto"/>
      </w:divBdr>
    </w:div>
    <w:div w:id="1553880082">
      <w:bodyDiv w:val="1"/>
      <w:marLeft w:val="0"/>
      <w:marRight w:val="0"/>
      <w:marTop w:val="0"/>
      <w:marBottom w:val="0"/>
      <w:divBdr>
        <w:top w:val="none" w:sz="0" w:space="0" w:color="auto"/>
        <w:left w:val="none" w:sz="0" w:space="0" w:color="auto"/>
        <w:bottom w:val="none" w:sz="0" w:space="0" w:color="auto"/>
        <w:right w:val="none" w:sz="0" w:space="0" w:color="auto"/>
      </w:divBdr>
    </w:div>
    <w:div w:id="1659921806">
      <w:bodyDiv w:val="1"/>
      <w:marLeft w:val="0"/>
      <w:marRight w:val="0"/>
      <w:marTop w:val="0"/>
      <w:marBottom w:val="0"/>
      <w:divBdr>
        <w:top w:val="none" w:sz="0" w:space="0" w:color="auto"/>
        <w:left w:val="none" w:sz="0" w:space="0" w:color="auto"/>
        <w:bottom w:val="none" w:sz="0" w:space="0" w:color="auto"/>
        <w:right w:val="none" w:sz="0" w:space="0" w:color="auto"/>
      </w:divBdr>
      <w:divsChild>
        <w:div w:id="876551079">
          <w:marLeft w:val="0"/>
          <w:marRight w:val="0"/>
          <w:marTop w:val="0"/>
          <w:marBottom w:val="0"/>
          <w:divBdr>
            <w:top w:val="none" w:sz="0" w:space="0" w:color="auto"/>
            <w:left w:val="none" w:sz="0" w:space="0" w:color="auto"/>
            <w:bottom w:val="none" w:sz="0" w:space="0" w:color="auto"/>
            <w:right w:val="none" w:sz="0" w:space="0" w:color="auto"/>
          </w:divBdr>
        </w:div>
      </w:divsChild>
    </w:div>
    <w:div w:id="1686665824">
      <w:bodyDiv w:val="1"/>
      <w:marLeft w:val="0"/>
      <w:marRight w:val="0"/>
      <w:marTop w:val="0"/>
      <w:marBottom w:val="0"/>
      <w:divBdr>
        <w:top w:val="none" w:sz="0" w:space="0" w:color="auto"/>
        <w:left w:val="none" w:sz="0" w:space="0" w:color="auto"/>
        <w:bottom w:val="none" w:sz="0" w:space="0" w:color="auto"/>
        <w:right w:val="none" w:sz="0" w:space="0" w:color="auto"/>
      </w:divBdr>
    </w:div>
    <w:div w:id="1730692956">
      <w:bodyDiv w:val="1"/>
      <w:marLeft w:val="0"/>
      <w:marRight w:val="0"/>
      <w:marTop w:val="0"/>
      <w:marBottom w:val="0"/>
      <w:divBdr>
        <w:top w:val="none" w:sz="0" w:space="0" w:color="auto"/>
        <w:left w:val="none" w:sz="0" w:space="0" w:color="auto"/>
        <w:bottom w:val="none" w:sz="0" w:space="0" w:color="auto"/>
        <w:right w:val="none" w:sz="0" w:space="0" w:color="auto"/>
      </w:divBdr>
    </w:div>
    <w:div w:id="1789468920">
      <w:bodyDiv w:val="1"/>
      <w:marLeft w:val="0"/>
      <w:marRight w:val="0"/>
      <w:marTop w:val="0"/>
      <w:marBottom w:val="0"/>
      <w:divBdr>
        <w:top w:val="none" w:sz="0" w:space="0" w:color="auto"/>
        <w:left w:val="none" w:sz="0" w:space="0" w:color="auto"/>
        <w:bottom w:val="none" w:sz="0" w:space="0" w:color="auto"/>
        <w:right w:val="none" w:sz="0" w:space="0" w:color="auto"/>
      </w:divBdr>
    </w:div>
    <w:div w:id="1888106076">
      <w:bodyDiv w:val="1"/>
      <w:marLeft w:val="0"/>
      <w:marRight w:val="0"/>
      <w:marTop w:val="0"/>
      <w:marBottom w:val="0"/>
      <w:divBdr>
        <w:top w:val="none" w:sz="0" w:space="0" w:color="auto"/>
        <w:left w:val="none" w:sz="0" w:space="0" w:color="auto"/>
        <w:bottom w:val="none" w:sz="0" w:space="0" w:color="auto"/>
        <w:right w:val="none" w:sz="0" w:space="0" w:color="auto"/>
      </w:divBdr>
    </w:div>
    <w:div w:id="1981034628">
      <w:bodyDiv w:val="1"/>
      <w:marLeft w:val="0"/>
      <w:marRight w:val="0"/>
      <w:marTop w:val="0"/>
      <w:marBottom w:val="0"/>
      <w:divBdr>
        <w:top w:val="none" w:sz="0" w:space="0" w:color="auto"/>
        <w:left w:val="none" w:sz="0" w:space="0" w:color="auto"/>
        <w:bottom w:val="none" w:sz="0" w:space="0" w:color="auto"/>
        <w:right w:val="none" w:sz="0" w:space="0" w:color="auto"/>
      </w:divBdr>
    </w:div>
    <w:div w:id="1985620113">
      <w:bodyDiv w:val="1"/>
      <w:marLeft w:val="0"/>
      <w:marRight w:val="0"/>
      <w:marTop w:val="0"/>
      <w:marBottom w:val="0"/>
      <w:divBdr>
        <w:top w:val="none" w:sz="0" w:space="0" w:color="auto"/>
        <w:left w:val="none" w:sz="0" w:space="0" w:color="auto"/>
        <w:bottom w:val="none" w:sz="0" w:space="0" w:color="auto"/>
        <w:right w:val="none" w:sz="0" w:space="0" w:color="auto"/>
      </w:divBdr>
    </w:div>
    <w:div w:id="203091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derationpress.com.au/bookstore/book.asp?isbn=97817600203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8625D-9BB3-4AD2-A0A1-FEF653B9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6</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dc:creator>
  <cp:keywords/>
  <dc:description/>
  <cp:lastModifiedBy>David Ash</cp:lastModifiedBy>
  <cp:revision>10</cp:revision>
  <dcterms:created xsi:type="dcterms:W3CDTF">2016-05-27T05:30:00Z</dcterms:created>
  <dcterms:modified xsi:type="dcterms:W3CDTF">2016-12-31T02:45:00Z</dcterms:modified>
</cp:coreProperties>
</file>