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ED28A6F" w14:textId="555BC6A6" w:rsidR="009F784B" w:rsidRPr="00EA36EE" w:rsidRDefault="00C121AE" w:rsidP="004F6961">
      <w:pPr>
        <w:spacing w:line="360" w:lineRule="auto"/>
        <w:jc w:val="both"/>
        <w:rPr>
          <w:rFonts w:ascii="Arial" w:hAnsi="Arial" w:cs="Arial"/>
          <w:b/>
          <w:sz w:val="30"/>
          <w:szCs w:val="30"/>
          <w:bdr w:val="none" w:sz="0" w:space="0" w:color="auto" w:frame="1"/>
          <w:lang w:eastAsia="en-AU"/>
        </w:rPr>
      </w:pPr>
      <w:r w:rsidRPr="00EA36EE">
        <w:rPr>
          <w:rFonts w:ascii="Arial" w:hAnsi="Arial" w:cs="Arial"/>
          <w:b/>
          <w:sz w:val="30"/>
          <w:szCs w:val="30"/>
          <w:bdr w:val="none" w:sz="0" w:space="0" w:color="auto" w:frame="1"/>
          <w:lang w:eastAsia="en-AU"/>
        </w:rPr>
        <w:t>No. 32</w:t>
      </w:r>
      <w:r w:rsidR="009F784B" w:rsidRPr="00EA36EE">
        <w:rPr>
          <w:rFonts w:ascii="Arial" w:hAnsi="Arial" w:cs="Arial"/>
          <w:b/>
          <w:sz w:val="30"/>
          <w:szCs w:val="30"/>
          <w:bdr w:val="none" w:sz="0" w:space="0" w:color="auto" w:frame="1"/>
          <w:lang w:eastAsia="en-AU"/>
        </w:rPr>
        <w:t xml:space="preserve"> (</w:t>
      </w:r>
      <w:r w:rsidRPr="00EA36EE">
        <w:rPr>
          <w:rFonts w:ascii="Arial" w:hAnsi="Arial" w:cs="Arial"/>
          <w:b/>
          <w:sz w:val="30"/>
          <w:szCs w:val="30"/>
          <w:bdr w:val="none" w:sz="0" w:space="0" w:color="auto" w:frame="1"/>
          <w:lang w:eastAsia="en-AU"/>
        </w:rPr>
        <w:t>Spring</w:t>
      </w:r>
      <w:r w:rsidR="009F784B" w:rsidRPr="00EA36EE">
        <w:rPr>
          <w:rFonts w:ascii="Arial" w:hAnsi="Arial" w:cs="Arial"/>
          <w:b/>
          <w:sz w:val="30"/>
          <w:szCs w:val="30"/>
          <w:bdr w:val="none" w:sz="0" w:space="0" w:color="auto" w:frame="1"/>
          <w:lang w:eastAsia="en-AU"/>
        </w:rPr>
        <w:t xml:space="preserve"> 2015)</w:t>
      </w:r>
    </w:p>
    <w:p w14:paraId="3429020D" w14:textId="77777777" w:rsidR="004F6961" w:rsidRPr="00EA36EE" w:rsidRDefault="004F6961" w:rsidP="004F6961">
      <w:pPr>
        <w:spacing w:line="360" w:lineRule="auto"/>
        <w:jc w:val="both"/>
        <w:rPr>
          <w:rFonts w:ascii="Arial" w:hAnsi="Arial" w:cs="Arial"/>
          <w:b/>
          <w:sz w:val="30"/>
          <w:szCs w:val="30"/>
          <w:bdr w:val="none" w:sz="0" w:space="0" w:color="auto" w:frame="1"/>
          <w:lang w:eastAsia="en-AU"/>
        </w:rPr>
      </w:pPr>
    </w:p>
    <w:p w14:paraId="2E158F2E" w14:textId="77777777" w:rsidR="009F784B" w:rsidRPr="00EA36EE" w:rsidRDefault="009F784B" w:rsidP="004F6961">
      <w:pPr>
        <w:spacing w:line="360" w:lineRule="auto"/>
        <w:jc w:val="both"/>
        <w:rPr>
          <w:rFonts w:ascii="Arial" w:hAnsi="Arial" w:cs="Arial"/>
          <w:b/>
          <w:sz w:val="30"/>
          <w:szCs w:val="30"/>
          <w:bdr w:val="none" w:sz="0" w:space="0" w:color="auto" w:frame="1"/>
          <w:lang w:eastAsia="en-AU"/>
        </w:rPr>
      </w:pPr>
      <w:r w:rsidRPr="00EA36EE">
        <w:rPr>
          <w:rFonts w:ascii="Arial" w:hAnsi="Arial" w:cs="Arial"/>
          <w:b/>
          <w:sz w:val="30"/>
          <w:szCs w:val="30"/>
          <w:bdr w:val="none" w:sz="0" w:space="0" w:color="auto" w:frame="1"/>
          <w:lang w:eastAsia="en-AU"/>
        </w:rPr>
        <w:t>History reports itself</w:t>
      </w:r>
    </w:p>
    <w:p w14:paraId="24408A4F" w14:textId="77777777" w:rsidR="004F6961" w:rsidRPr="00EA36EE" w:rsidRDefault="004F6961" w:rsidP="004F6961">
      <w:pPr>
        <w:spacing w:line="360" w:lineRule="auto"/>
        <w:jc w:val="both"/>
        <w:rPr>
          <w:rFonts w:ascii="Arial" w:hAnsi="Arial" w:cs="Arial"/>
          <w:b/>
          <w:sz w:val="30"/>
          <w:szCs w:val="30"/>
          <w:lang w:eastAsia="en-AU"/>
        </w:rPr>
      </w:pPr>
    </w:p>
    <w:p w14:paraId="311D3C47" w14:textId="03DDB230" w:rsidR="00C121AE" w:rsidRPr="00EA36EE" w:rsidRDefault="00FD433D" w:rsidP="004F6961">
      <w:pPr>
        <w:spacing w:line="360" w:lineRule="auto"/>
        <w:jc w:val="both"/>
        <w:rPr>
          <w:rFonts w:ascii="Arial" w:hAnsi="Arial" w:cs="Arial"/>
          <w:sz w:val="30"/>
          <w:szCs w:val="30"/>
          <w:bdr w:val="none" w:sz="0" w:space="0" w:color="auto" w:frame="1"/>
          <w:lang w:eastAsia="en-AU"/>
        </w:rPr>
      </w:pPr>
      <w:r w:rsidRPr="00EA36EE">
        <w:rPr>
          <w:rFonts w:ascii="Arial" w:hAnsi="Arial" w:cs="Arial"/>
          <w:sz w:val="30"/>
          <w:szCs w:val="30"/>
          <w:bdr w:val="none" w:sz="0" w:space="0" w:color="auto" w:frame="1"/>
          <w:lang w:eastAsia="en-AU"/>
        </w:rPr>
        <w:t xml:space="preserve">It’s not quite Magna Carta, but we have another anniversary this year, the </w:t>
      </w:r>
      <w:r w:rsidR="003778BC" w:rsidRPr="00EA36EE">
        <w:rPr>
          <w:rFonts w:ascii="Arial" w:hAnsi="Arial" w:cs="Arial"/>
          <w:sz w:val="30"/>
          <w:szCs w:val="30"/>
          <w:bdr w:val="none" w:sz="0" w:space="0" w:color="auto" w:frame="1"/>
          <w:lang w:eastAsia="en-AU"/>
        </w:rPr>
        <w:t>tenth</w:t>
      </w:r>
      <w:r w:rsidRPr="00EA36EE">
        <w:rPr>
          <w:rFonts w:ascii="Arial" w:hAnsi="Arial" w:cs="Arial"/>
          <w:sz w:val="30"/>
          <w:szCs w:val="30"/>
          <w:bdr w:val="none" w:sz="0" w:space="0" w:color="auto" w:frame="1"/>
          <w:lang w:eastAsia="en-AU"/>
        </w:rPr>
        <w:t xml:space="preserve"> anniversary of the passage in NSW of the </w:t>
      </w:r>
      <w:r w:rsidRPr="00EA36EE">
        <w:rPr>
          <w:rFonts w:ascii="Arial" w:hAnsi="Arial" w:cs="Arial"/>
          <w:i/>
          <w:sz w:val="30"/>
          <w:szCs w:val="30"/>
          <w:bdr w:val="none" w:sz="0" w:space="0" w:color="auto" w:frame="1"/>
          <w:lang w:eastAsia="en-AU"/>
        </w:rPr>
        <w:t>Civil Procedure Act</w:t>
      </w:r>
      <w:r w:rsidRPr="00EA36EE">
        <w:rPr>
          <w:rFonts w:ascii="Arial" w:hAnsi="Arial" w:cs="Arial"/>
          <w:sz w:val="30"/>
          <w:szCs w:val="30"/>
          <w:bdr w:val="none" w:sz="0" w:space="0" w:color="auto" w:frame="1"/>
          <w:lang w:eastAsia="en-AU"/>
        </w:rPr>
        <w:t>. The Commonwealth and other States and Territories have passed cognate legislation, each focussing on a variant of “the overriding purpose”.</w:t>
      </w:r>
    </w:p>
    <w:p w14:paraId="6B099342" w14:textId="5DE15A41" w:rsidR="003778BC" w:rsidRPr="00EA36EE" w:rsidRDefault="004F6961" w:rsidP="004F6961">
      <w:pPr>
        <w:spacing w:line="360" w:lineRule="auto"/>
        <w:jc w:val="both"/>
        <w:rPr>
          <w:rFonts w:ascii="Arial" w:hAnsi="Arial" w:cs="Arial"/>
          <w:sz w:val="30"/>
          <w:szCs w:val="30"/>
        </w:rPr>
      </w:pPr>
      <w:r w:rsidRPr="00EA36EE">
        <w:rPr>
          <w:rFonts w:ascii="Arial" w:hAnsi="Arial" w:cs="Arial"/>
          <w:sz w:val="30"/>
          <w:szCs w:val="30"/>
          <w:bdr w:val="none" w:sz="0" w:space="0" w:color="auto" w:frame="1"/>
          <w:lang w:eastAsia="en-AU"/>
        </w:rPr>
        <w:t xml:space="preserve">While the anniversary was noted in the last Flyer, it is worth recalling </w:t>
      </w:r>
      <w:r w:rsidR="003778BC" w:rsidRPr="00EA36EE">
        <w:rPr>
          <w:rFonts w:ascii="Arial" w:hAnsi="Arial" w:cs="Arial"/>
          <w:sz w:val="30"/>
          <w:szCs w:val="30"/>
        </w:rPr>
        <w:t>rule 57 of the 1826 Supreme Court Rules</w:t>
      </w:r>
      <w:r w:rsidRPr="00EA36EE">
        <w:rPr>
          <w:rFonts w:ascii="Arial" w:hAnsi="Arial" w:cs="Arial"/>
          <w:sz w:val="30"/>
          <w:szCs w:val="30"/>
        </w:rPr>
        <w:t>,</w:t>
      </w:r>
      <w:r w:rsidR="003778BC" w:rsidRPr="00EA36EE">
        <w:rPr>
          <w:rFonts w:ascii="Arial" w:hAnsi="Arial" w:cs="Arial"/>
          <w:sz w:val="30"/>
          <w:szCs w:val="30"/>
        </w:rPr>
        <w:t xml:space="preserve"> introduced by Sir Francis Forbes:</w:t>
      </w:r>
    </w:p>
    <w:p w14:paraId="0B35C7CB" w14:textId="1E81C0B1" w:rsidR="00FD433D" w:rsidRPr="00EA36EE" w:rsidRDefault="00FD433D" w:rsidP="004F6961">
      <w:pPr>
        <w:spacing w:line="360" w:lineRule="auto"/>
        <w:ind w:left="720"/>
        <w:jc w:val="both"/>
        <w:rPr>
          <w:rFonts w:ascii="Arial" w:hAnsi="Arial" w:cs="Arial"/>
          <w:sz w:val="26"/>
          <w:szCs w:val="26"/>
        </w:rPr>
      </w:pPr>
      <w:r w:rsidRPr="00EA36EE">
        <w:rPr>
          <w:rFonts w:ascii="Arial" w:hAnsi="Arial" w:cs="Arial"/>
          <w:sz w:val="26"/>
          <w:szCs w:val="26"/>
        </w:rPr>
        <w:t>The foregoing rules and orders, being made for the convenience of the parties in the ordinary course of a proceeding in the said Court, and with a view to promote economy and dispatch by avoiding all unnecessary and vexatious forms, in the spirit of such view and in furtherance thereof, the Court may, from time to time, dispense with any particular rule that may be attended with inconvenience or hardship to either of the parties, and may make such special orders in any particular case, or in any stage of the proceedings, as shall be within the powers of the Court and may facilitate the ends of justice.</w:t>
      </w:r>
    </w:p>
    <w:p w14:paraId="1695D744" w14:textId="732F1EF9" w:rsidR="00FD433D" w:rsidRPr="00EA36EE" w:rsidRDefault="00FD433D" w:rsidP="004F6961">
      <w:pPr>
        <w:spacing w:line="360" w:lineRule="auto"/>
        <w:jc w:val="both"/>
        <w:rPr>
          <w:rFonts w:ascii="Arial" w:hAnsi="Arial" w:cs="Arial"/>
          <w:sz w:val="30"/>
          <w:szCs w:val="30"/>
        </w:rPr>
      </w:pPr>
      <w:r w:rsidRPr="00EA36EE">
        <w:rPr>
          <w:rFonts w:ascii="Arial" w:hAnsi="Arial" w:cs="Arial"/>
          <w:sz w:val="30"/>
          <w:szCs w:val="30"/>
        </w:rPr>
        <w:t xml:space="preserve">A later Chief Justice Sir Alfred Stephen was perhaps of the plus </w:t>
      </w:r>
      <w:proofErr w:type="spellStart"/>
      <w:r w:rsidRPr="00EA36EE">
        <w:rPr>
          <w:rFonts w:ascii="Arial" w:hAnsi="Arial" w:cs="Arial"/>
          <w:sz w:val="30"/>
          <w:szCs w:val="30"/>
        </w:rPr>
        <w:t>ça</w:t>
      </w:r>
      <w:proofErr w:type="spellEnd"/>
      <w:r w:rsidRPr="00EA36EE">
        <w:rPr>
          <w:rFonts w:ascii="Arial" w:hAnsi="Arial" w:cs="Arial"/>
          <w:sz w:val="30"/>
          <w:szCs w:val="30"/>
        </w:rPr>
        <w:t xml:space="preserve"> change, plus </w:t>
      </w:r>
      <w:proofErr w:type="spellStart"/>
      <w:r w:rsidRPr="00EA36EE">
        <w:rPr>
          <w:rFonts w:ascii="Arial" w:hAnsi="Arial" w:cs="Arial"/>
          <w:sz w:val="30"/>
          <w:szCs w:val="30"/>
        </w:rPr>
        <w:t>c’est</w:t>
      </w:r>
      <w:proofErr w:type="spellEnd"/>
      <w:r w:rsidRPr="00EA36EE">
        <w:rPr>
          <w:rFonts w:ascii="Arial" w:hAnsi="Arial" w:cs="Arial"/>
          <w:sz w:val="30"/>
          <w:szCs w:val="30"/>
        </w:rPr>
        <w:t xml:space="preserve"> la </w:t>
      </w:r>
      <w:proofErr w:type="spellStart"/>
      <w:r w:rsidRPr="00EA36EE">
        <w:rPr>
          <w:rFonts w:ascii="Arial" w:hAnsi="Arial" w:cs="Arial"/>
          <w:sz w:val="30"/>
          <w:szCs w:val="30"/>
        </w:rPr>
        <w:t>même</w:t>
      </w:r>
      <w:proofErr w:type="spellEnd"/>
      <w:r w:rsidRPr="00EA36EE">
        <w:rPr>
          <w:rFonts w:ascii="Arial" w:hAnsi="Arial" w:cs="Arial"/>
          <w:sz w:val="30"/>
          <w:szCs w:val="30"/>
        </w:rPr>
        <w:t xml:space="preserve"> change school and not </w:t>
      </w:r>
      <w:r w:rsidR="003778BC" w:rsidRPr="00EA36EE">
        <w:rPr>
          <w:rFonts w:ascii="Arial" w:hAnsi="Arial" w:cs="Arial"/>
          <w:sz w:val="30"/>
          <w:szCs w:val="30"/>
        </w:rPr>
        <w:t xml:space="preserve">revealing any particular </w:t>
      </w:r>
      <w:proofErr w:type="spellStart"/>
      <w:r w:rsidR="003778BC" w:rsidRPr="00EA36EE">
        <w:rPr>
          <w:rFonts w:ascii="Arial" w:hAnsi="Arial" w:cs="Arial"/>
          <w:sz w:val="30"/>
          <w:szCs w:val="30"/>
        </w:rPr>
        <w:t>toryism</w:t>
      </w:r>
      <w:proofErr w:type="spellEnd"/>
      <w:r w:rsidR="003778BC" w:rsidRPr="00EA36EE">
        <w:rPr>
          <w:rFonts w:ascii="Arial" w:hAnsi="Arial" w:cs="Arial"/>
          <w:sz w:val="30"/>
          <w:szCs w:val="30"/>
        </w:rPr>
        <w:t xml:space="preserve"> </w:t>
      </w:r>
      <w:r w:rsidRPr="00EA36EE">
        <w:rPr>
          <w:rFonts w:ascii="Arial" w:hAnsi="Arial" w:cs="Arial"/>
          <w:sz w:val="30"/>
          <w:szCs w:val="30"/>
        </w:rPr>
        <w:t xml:space="preserve">when he said </w:t>
      </w:r>
      <w:bookmarkStart w:id="0" w:name="Sir_Alfred_Stephen"/>
      <w:r w:rsidRPr="00EA36EE">
        <w:rPr>
          <w:rFonts w:ascii="Arial" w:hAnsi="Arial" w:cs="Arial"/>
          <w:sz w:val="30"/>
          <w:szCs w:val="30"/>
        </w:rPr>
        <w:t>"... the so-called system of Chief Justice Forbes [was] really and in truth no system at all."</w:t>
      </w:r>
      <w:bookmarkEnd w:id="0"/>
    </w:p>
    <w:p w14:paraId="61C059C7" w14:textId="248B441F" w:rsidR="003778BC" w:rsidRPr="00EA36EE" w:rsidRDefault="003778BC" w:rsidP="004F6961">
      <w:pPr>
        <w:spacing w:line="360" w:lineRule="auto"/>
        <w:jc w:val="both"/>
        <w:rPr>
          <w:rFonts w:ascii="Arial" w:hAnsi="Arial" w:cs="Arial"/>
          <w:color w:val="212121"/>
          <w:sz w:val="30"/>
          <w:szCs w:val="30"/>
          <w:lang w:val="en"/>
        </w:rPr>
      </w:pPr>
      <w:r w:rsidRPr="00EA36EE">
        <w:rPr>
          <w:rFonts w:ascii="Arial" w:hAnsi="Arial" w:cs="Arial"/>
          <w:sz w:val="30"/>
          <w:szCs w:val="30"/>
        </w:rPr>
        <w:lastRenderedPageBreak/>
        <w:t>F</w:t>
      </w:r>
      <w:r w:rsidR="00FD433D" w:rsidRPr="00EA36EE">
        <w:rPr>
          <w:rFonts w:ascii="Arial" w:hAnsi="Arial" w:cs="Arial"/>
          <w:sz w:val="30"/>
          <w:szCs w:val="30"/>
        </w:rPr>
        <w:t xml:space="preserve">or those interested in degrees of separation, the person who coined the expression was Jean-Baptiste Alphonse Karr; Alphonse Karr was one of the </w:t>
      </w:r>
      <w:r w:rsidR="00FD7DE7" w:rsidRPr="00EA36EE">
        <w:rPr>
          <w:noProof/>
          <w:sz w:val="30"/>
          <w:szCs w:val="30"/>
          <w:lang w:eastAsia="en-AU"/>
        </w:rPr>
        <w:drawing>
          <wp:anchor distT="0" distB="0" distL="114300" distR="114300" simplePos="0" relativeHeight="251658240" behindDoc="0" locked="0" layoutInCell="1" allowOverlap="1" wp14:anchorId="255114D4" wp14:editId="0D813EE8">
            <wp:simplePos x="0" y="0"/>
            <wp:positionH relativeFrom="column">
              <wp:posOffset>102870</wp:posOffset>
            </wp:positionH>
            <wp:positionV relativeFrom="paragraph">
              <wp:posOffset>0</wp:posOffset>
            </wp:positionV>
            <wp:extent cx="3221990" cy="5301615"/>
            <wp:effectExtent l="0" t="0" r="0" b="0"/>
            <wp:wrapSquare wrapText="bothSides"/>
            <wp:docPr id="4" name="Picture 4" descr="https://img.yumpu.com/16991084/1/358x545/gazette-des-tribunau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g.yumpu.com/16991084/1/358x545/gazette-des-tribunau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1990" cy="5301615"/>
                    </a:xfrm>
                    <a:prstGeom prst="rect">
                      <a:avLst/>
                    </a:prstGeom>
                    <a:noFill/>
                    <a:ln>
                      <a:noFill/>
                    </a:ln>
                  </pic:spPr>
                </pic:pic>
              </a:graphicData>
            </a:graphic>
            <wp14:sizeRelH relativeFrom="page">
              <wp14:pctWidth>0</wp14:pctWidth>
            </wp14:sizeRelH>
            <wp14:sizeRelV relativeFrom="page">
              <wp14:pctHeight>0</wp14:pctHeight>
            </wp14:sizeRelV>
          </wp:anchor>
        </w:drawing>
      </w:r>
      <w:r w:rsidR="00FD433D" w:rsidRPr="00EA36EE">
        <w:rPr>
          <w:rFonts w:ascii="Arial" w:hAnsi="Arial" w:cs="Arial"/>
          <w:sz w:val="30"/>
          <w:szCs w:val="30"/>
        </w:rPr>
        <w:t>names me</w:t>
      </w:r>
      <w:r w:rsidRPr="00EA36EE">
        <w:rPr>
          <w:rFonts w:ascii="Arial" w:hAnsi="Arial" w:cs="Arial"/>
          <w:sz w:val="30"/>
          <w:szCs w:val="30"/>
        </w:rPr>
        <w:t xml:space="preserve">ntioned in the advertisement for a legal history conference in France earlier this year to talk about </w:t>
      </w:r>
      <w:r w:rsidR="00FD433D" w:rsidRPr="00EA36EE">
        <w:rPr>
          <w:rFonts w:ascii="Arial" w:hAnsi="Arial" w:cs="Arial"/>
          <w:sz w:val="30"/>
          <w:szCs w:val="30"/>
        </w:rPr>
        <w:t xml:space="preserve">the "Gazette des </w:t>
      </w:r>
      <w:proofErr w:type="spellStart"/>
      <w:r w:rsidR="00FD433D" w:rsidRPr="00EA36EE">
        <w:rPr>
          <w:rFonts w:ascii="Arial" w:hAnsi="Arial" w:cs="Arial"/>
          <w:sz w:val="30"/>
          <w:szCs w:val="30"/>
        </w:rPr>
        <w:t>Tribunaux</w:t>
      </w:r>
      <w:proofErr w:type="spellEnd"/>
      <w:r w:rsidR="00FD433D" w:rsidRPr="00EA36EE">
        <w:rPr>
          <w:rFonts w:ascii="Arial" w:hAnsi="Arial" w:cs="Arial"/>
          <w:sz w:val="30"/>
          <w:szCs w:val="30"/>
        </w:rPr>
        <w:t>"</w:t>
      </w:r>
      <w:r w:rsidRPr="00EA36EE">
        <w:rPr>
          <w:rFonts w:ascii="Arial" w:hAnsi="Arial" w:cs="Arial"/>
          <w:sz w:val="30"/>
          <w:szCs w:val="30"/>
        </w:rPr>
        <w:t xml:space="preserve"> – which newspaper he appears to have described as </w:t>
      </w:r>
      <w:r w:rsidRPr="00EA36EE">
        <w:rPr>
          <w:rFonts w:ascii="Arial" w:hAnsi="Arial" w:cs="Arial"/>
          <w:sz w:val="30"/>
          <w:szCs w:val="30"/>
          <w:lang w:val="en"/>
        </w:rPr>
        <w:t xml:space="preserve">"an exhibition in effigy to fifteen thousand copies spread throughout France and abroad”; </w:t>
      </w:r>
      <w:r w:rsidRPr="00EA36EE">
        <w:rPr>
          <w:rFonts w:ascii="Arial" w:hAnsi="Arial" w:cs="Arial"/>
          <w:color w:val="212121"/>
          <w:sz w:val="30"/>
          <w:szCs w:val="30"/>
          <w:lang w:val="en"/>
        </w:rPr>
        <w:t xml:space="preserve">the advertisement was on the webpage of ESCLH, the European Society for Comparative Legal History; and the Forbes Society is duly listed as one of the associates of the society on the </w:t>
      </w:r>
      <w:hyperlink r:id="rId9" w:history="1">
        <w:proofErr w:type="spellStart"/>
        <w:r w:rsidRPr="00EA36EE">
          <w:rPr>
            <w:rStyle w:val="Hyperlink"/>
            <w:rFonts w:ascii="Arial" w:hAnsi="Arial" w:cs="Arial"/>
            <w:sz w:val="30"/>
            <w:szCs w:val="30"/>
            <w:lang w:val="en"/>
          </w:rPr>
          <w:t>the</w:t>
        </w:r>
        <w:proofErr w:type="spellEnd"/>
        <w:r w:rsidRPr="00EA36EE">
          <w:rPr>
            <w:rStyle w:val="Hyperlink"/>
            <w:rFonts w:ascii="Arial" w:hAnsi="Arial" w:cs="Arial"/>
            <w:sz w:val="30"/>
            <w:szCs w:val="30"/>
            <w:lang w:val="en"/>
          </w:rPr>
          <w:t xml:space="preserve"> ESCLH's homepage</w:t>
        </w:r>
      </w:hyperlink>
      <w:r w:rsidRPr="00EA36EE">
        <w:rPr>
          <w:rFonts w:ascii="Arial" w:hAnsi="Arial" w:cs="Arial"/>
          <w:color w:val="212121"/>
          <w:sz w:val="30"/>
          <w:szCs w:val="30"/>
          <w:lang w:val="en"/>
        </w:rPr>
        <w:t xml:space="preserve">. </w:t>
      </w:r>
      <w:r w:rsidR="00B376EB" w:rsidRPr="00EA36EE">
        <w:rPr>
          <w:rFonts w:ascii="Arial" w:hAnsi="Arial" w:cs="Arial"/>
          <w:color w:val="212121"/>
          <w:sz w:val="30"/>
          <w:szCs w:val="30"/>
          <w:lang w:val="en"/>
        </w:rPr>
        <w:t>As can be seen from the Gazette’</w:t>
      </w:r>
      <w:r w:rsidR="00FD7DE7" w:rsidRPr="00EA36EE">
        <w:rPr>
          <w:rFonts w:ascii="Arial" w:hAnsi="Arial" w:cs="Arial"/>
          <w:color w:val="212121"/>
          <w:sz w:val="30"/>
          <w:szCs w:val="30"/>
          <w:lang w:val="en"/>
        </w:rPr>
        <w:t xml:space="preserve">s subtitle, it was more than either a law journal or a case reporter. It was very much a specialist newspaper </w:t>
      </w:r>
      <w:proofErr w:type="spellStart"/>
      <w:r w:rsidR="00FD7DE7" w:rsidRPr="00EA36EE">
        <w:rPr>
          <w:rFonts w:ascii="Arial" w:hAnsi="Arial" w:cs="Arial"/>
          <w:color w:val="212121"/>
          <w:sz w:val="30"/>
          <w:szCs w:val="30"/>
          <w:lang w:val="en"/>
        </w:rPr>
        <w:t>focussing</w:t>
      </w:r>
      <w:proofErr w:type="spellEnd"/>
      <w:r w:rsidR="00FD7DE7" w:rsidRPr="00EA36EE">
        <w:rPr>
          <w:rFonts w:ascii="Arial" w:hAnsi="Arial" w:cs="Arial"/>
          <w:color w:val="212121"/>
          <w:sz w:val="30"/>
          <w:szCs w:val="30"/>
          <w:lang w:val="en"/>
        </w:rPr>
        <w:t xml:space="preserve"> on crime and justice. I understand it provided considerable fodder for novelists of the day.</w:t>
      </w:r>
    </w:p>
    <w:p w14:paraId="5B06CD84" w14:textId="77777777" w:rsidR="004F6961" w:rsidRPr="00EA36EE" w:rsidRDefault="004F6961" w:rsidP="004F6961">
      <w:pPr>
        <w:spacing w:line="360" w:lineRule="auto"/>
        <w:jc w:val="both"/>
        <w:rPr>
          <w:rFonts w:ascii="Arial" w:hAnsi="Arial" w:cs="Arial"/>
          <w:color w:val="212121"/>
          <w:sz w:val="30"/>
          <w:szCs w:val="30"/>
          <w:lang w:val="en"/>
        </w:rPr>
      </w:pPr>
    </w:p>
    <w:p w14:paraId="6FDCA6E6" w14:textId="77777777" w:rsidR="004F6961" w:rsidRPr="00EA36EE" w:rsidRDefault="004F6961" w:rsidP="004F6961">
      <w:pPr>
        <w:spacing w:line="360" w:lineRule="auto"/>
        <w:jc w:val="both"/>
        <w:rPr>
          <w:rFonts w:ascii="Arial" w:hAnsi="Arial" w:cs="Arial"/>
          <w:b/>
          <w:sz w:val="30"/>
          <w:szCs w:val="30"/>
          <w:bdr w:val="none" w:sz="0" w:space="0" w:color="auto" w:frame="1"/>
          <w:lang w:eastAsia="en-AU"/>
        </w:rPr>
      </w:pPr>
      <w:r w:rsidRPr="00EA36EE">
        <w:rPr>
          <w:rFonts w:ascii="Arial" w:hAnsi="Arial" w:cs="Arial"/>
          <w:b/>
          <w:sz w:val="30"/>
          <w:szCs w:val="30"/>
          <w:bdr w:val="none" w:sz="0" w:space="0" w:color="auto" w:frame="1"/>
          <w:lang w:eastAsia="en-AU"/>
        </w:rPr>
        <w:t>David Ash, Editor</w:t>
      </w:r>
    </w:p>
    <w:p w14:paraId="1EF87010" w14:textId="3BEFD9FF" w:rsidR="00FD433D" w:rsidRPr="00EA36EE" w:rsidRDefault="00FD433D" w:rsidP="004F6961">
      <w:pPr>
        <w:spacing w:line="360" w:lineRule="auto"/>
        <w:jc w:val="both"/>
        <w:rPr>
          <w:rFonts w:ascii="Arial" w:hAnsi="Arial" w:cs="Arial"/>
          <w:sz w:val="30"/>
          <w:szCs w:val="30"/>
        </w:rPr>
      </w:pPr>
    </w:p>
    <w:p w14:paraId="0E27C8CD" w14:textId="77777777" w:rsidR="009F784B" w:rsidRPr="00EA36EE" w:rsidRDefault="009F784B" w:rsidP="004F6961">
      <w:pPr>
        <w:spacing w:line="360" w:lineRule="auto"/>
        <w:jc w:val="both"/>
        <w:rPr>
          <w:rFonts w:ascii="Arial" w:hAnsi="Arial" w:cs="Arial"/>
          <w:b/>
          <w:sz w:val="30"/>
          <w:szCs w:val="30"/>
          <w:bdr w:val="none" w:sz="0" w:space="0" w:color="auto" w:frame="1"/>
          <w:lang w:eastAsia="en-AU"/>
        </w:rPr>
      </w:pPr>
      <w:r w:rsidRPr="00EA36EE">
        <w:rPr>
          <w:rFonts w:ascii="Arial" w:hAnsi="Arial" w:cs="Arial"/>
          <w:b/>
          <w:sz w:val="30"/>
          <w:szCs w:val="30"/>
          <w:bdr w:val="none" w:sz="0" w:space="0" w:color="auto" w:frame="1"/>
          <w:lang w:eastAsia="en-AU"/>
        </w:rPr>
        <w:t>The 2015 Forbes Lecture in Sydney</w:t>
      </w:r>
    </w:p>
    <w:p w14:paraId="072BBE1D" w14:textId="77777777" w:rsidR="004F6961" w:rsidRPr="00EA36EE" w:rsidRDefault="004F6961" w:rsidP="004F6961">
      <w:pPr>
        <w:spacing w:line="360" w:lineRule="auto"/>
        <w:jc w:val="both"/>
        <w:rPr>
          <w:rFonts w:ascii="Arial" w:hAnsi="Arial" w:cs="Arial"/>
          <w:sz w:val="30"/>
          <w:szCs w:val="30"/>
          <w:bdr w:val="none" w:sz="0" w:space="0" w:color="auto" w:frame="1"/>
          <w:lang w:eastAsia="en-AU"/>
        </w:rPr>
      </w:pPr>
    </w:p>
    <w:p w14:paraId="274F10CE" w14:textId="77777777" w:rsidR="009F784B" w:rsidRPr="00EA36EE" w:rsidRDefault="009F784B" w:rsidP="004F6961">
      <w:pPr>
        <w:spacing w:line="360" w:lineRule="auto"/>
        <w:jc w:val="both"/>
        <w:rPr>
          <w:rFonts w:ascii="Arial" w:hAnsi="Arial" w:cs="Arial"/>
          <w:sz w:val="30"/>
          <w:szCs w:val="30"/>
          <w:bdr w:val="none" w:sz="0" w:space="0" w:color="auto" w:frame="1"/>
          <w:lang w:eastAsia="en-AU"/>
        </w:rPr>
      </w:pPr>
      <w:r w:rsidRPr="00EA36EE">
        <w:rPr>
          <w:rFonts w:ascii="Arial" w:hAnsi="Arial" w:cs="Arial"/>
          <w:sz w:val="30"/>
          <w:szCs w:val="30"/>
          <w:bdr w:val="none" w:sz="0" w:space="0" w:color="auto" w:frame="1"/>
          <w:lang w:eastAsia="en-AU"/>
        </w:rPr>
        <w:t>This year’s annual Forbes Lecture will be presented by Emeritus Professor David Barker on Wednesday 11 November 2015. The topic is the History of Legal Education in Australia.</w:t>
      </w:r>
    </w:p>
    <w:p w14:paraId="2F073279" w14:textId="77777777" w:rsidR="004F6961" w:rsidRPr="00EA36EE" w:rsidRDefault="004F6961" w:rsidP="004F6961">
      <w:pPr>
        <w:spacing w:line="360" w:lineRule="auto"/>
        <w:jc w:val="both"/>
        <w:rPr>
          <w:rFonts w:ascii="Arial" w:hAnsi="Arial" w:cs="Arial"/>
          <w:sz w:val="30"/>
          <w:szCs w:val="30"/>
          <w:bdr w:val="none" w:sz="0" w:space="0" w:color="auto" w:frame="1"/>
          <w:lang w:eastAsia="en-AU"/>
        </w:rPr>
      </w:pPr>
    </w:p>
    <w:p w14:paraId="39D5B2CF" w14:textId="05ED2744" w:rsidR="002C74FD" w:rsidRPr="00EA36EE" w:rsidRDefault="002C74FD" w:rsidP="004F6961">
      <w:pPr>
        <w:spacing w:line="360" w:lineRule="auto"/>
        <w:jc w:val="both"/>
        <w:rPr>
          <w:rFonts w:ascii="Arial" w:hAnsi="Arial" w:cs="Arial"/>
          <w:b/>
          <w:color w:val="000000"/>
          <w:sz w:val="30"/>
          <w:szCs w:val="30"/>
        </w:rPr>
      </w:pPr>
      <w:r w:rsidRPr="00EA36EE">
        <w:rPr>
          <w:rFonts w:ascii="Arial" w:hAnsi="Arial" w:cs="Arial"/>
          <w:b/>
          <w:color w:val="000000"/>
          <w:sz w:val="30"/>
          <w:szCs w:val="30"/>
        </w:rPr>
        <w:t xml:space="preserve">The Honourable Justice Peter </w:t>
      </w:r>
      <w:proofErr w:type="spellStart"/>
      <w:r w:rsidRPr="00EA36EE">
        <w:rPr>
          <w:rFonts w:ascii="Arial" w:hAnsi="Arial" w:cs="Arial"/>
          <w:b/>
          <w:color w:val="000000"/>
          <w:sz w:val="30"/>
          <w:szCs w:val="30"/>
        </w:rPr>
        <w:t>Applegarth</w:t>
      </w:r>
      <w:proofErr w:type="spellEnd"/>
      <w:r w:rsidRPr="00EA36EE">
        <w:rPr>
          <w:rFonts w:ascii="Arial" w:hAnsi="Arial" w:cs="Arial"/>
          <w:b/>
          <w:color w:val="000000"/>
          <w:sz w:val="30"/>
          <w:szCs w:val="30"/>
        </w:rPr>
        <w:t xml:space="preserve"> on Lord Atkin in Brisbane</w:t>
      </w:r>
    </w:p>
    <w:p w14:paraId="4228068D" w14:textId="77777777" w:rsidR="004F6961" w:rsidRPr="00EA36EE" w:rsidRDefault="004F6961" w:rsidP="004F6961">
      <w:pPr>
        <w:spacing w:line="360" w:lineRule="auto"/>
        <w:jc w:val="both"/>
        <w:rPr>
          <w:rFonts w:ascii="Arial" w:hAnsi="Arial" w:cs="Arial"/>
          <w:b/>
          <w:color w:val="000000"/>
          <w:sz w:val="30"/>
          <w:szCs w:val="30"/>
        </w:rPr>
      </w:pPr>
    </w:p>
    <w:p w14:paraId="44B98AAE" w14:textId="436EF59B" w:rsidR="002C74FD" w:rsidRPr="00EA36EE" w:rsidRDefault="002C74FD" w:rsidP="004F6961">
      <w:pPr>
        <w:spacing w:line="360" w:lineRule="auto"/>
        <w:jc w:val="both"/>
        <w:rPr>
          <w:rFonts w:ascii="Arial" w:hAnsi="Arial" w:cs="Arial"/>
          <w:color w:val="000000"/>
          <w:sz w:val="30"/>
          <w:szCs w:val="30"/>
        </w:rPr>
      </w:pPr>
      <w:r w:rsidRPr="00EA36EE">
        <w:rPr>
          <w:rFonts w:ascii="Arial" w:hAnsi="Arial" w:cs="Arial"/>
          <w:color w:val="000000"/>
          <w:sz w:val="30"/>
          <w:szCs w:val="30"/>
        </w:rPr>
        <w:t xml:space="preserve">The Selden Society Australian Chapter is presenting a paper by The Honourable Justice Peter </w:t>
      </w:r>
      <w:proofErr w:type="spellStart"/>
      <w:r w:rsidRPr="00EA36EE">
        <w:rPr>
          <w:rFonts w:ascii="Arial" w:hAnsi="Arial" w:cs="Arial"/>
          <w:color w:val="000000"/>
          <w:sz w:val="30"/>
          <w:szCs w:val="30"/>
        </w:rPr>
        <w:t>Applegarth</w:t>
      </w:r>
      <w:proofErr w:type="spellEnd"/>
      <w:r w:rsidRPr="00EA36EE">
        <w:rPr>
          <w:rFonts w:ascii="Arial" w:hAnsi="Arial" w:cs="Arial"/>
          <w:color w:val="000000"/>
          <w:sz w:val="30"/>
          <w:szCs w:val="30"/>
        </w:rPr>
        <w:t xml:space="preserve"> on Lord Atkin in Brisbane on Thursday 15 October 2015, 5.15pm for 5.30pm. The venue is Banco Court, Level 3, Queen Elizabeth II Courts of Law, 415 George Street Brisbane.</w:t>
      </w:r>
      <w:r w:rsidR="00EA36EE" w:rsidRPr="00EA36EE">
        <w:t xml:space="preserve"> </w:t>
      </w:r>
    </w:p>
    <w:p w14:paraId="3457C44E" w14:textId="12D117C6" w:rsidR="002C74FD" w:rsidRPr="00EA36EE" w:rsidRDefault="00EA36EE" w:rsidP="00285A83">
      <w:pPr>
        <w:spacing w:line="360" w:lineRule="auto"/>
        <w:jc w:val="both"/>
        <w:rPr>
          <w:rFonts w:ascii="Arial" w:hAnsi="Arial" w:cs="Arial"/>
          <w:color w:val="000000"/>
          <w:sz w:val="30"/>
          <w:szCs w:val="30"/>
        </w:rPr>
      </w:pPr>
      <w:r>
        <w:rPr>
          <w:noProof/>
          <w:lang w:eastAsia="en-AU"/>
        </w:rPr>
        <w:drawing>
          <wp:anchor distT="0" distB="0" distL="114300" distR="114300" simplePos="0" relativeHeight="251659264" behindDoc="1" locked="0" layoutInCell="1" allowOverlap="1" wp14:anchorId="693C7D10" wp14:editId="2B2A9350">
            <wp:simplePos x="0" y="0"/>
            <wp:positionH relativeFrom="column">
              <wp:posOffset>36830</wp:posOffset>
            </wp:positionH>
            <wp:positionV relativeFrom="paragraph">
              <wp:posOffset>89657</wp:posOffset>
            </wp:positionV>
            <wp:extent cx="2035175" cy="3022600"/>
            <wp:effectExtent l="0" t="0" r="3175" b="6350"/>
            <wp:wrapTight wrapText="bothSides">
              <wp:wrapPolygon edited="0">
                <wp:start x="0" y="0"/>
                <wp:lineTo x="0" y="21509"/>
                <wp:lineTo x="21432" y="21509"/>
                <wp:lineTo x="21432" y="0"/>
                <wp:lineTo x="0" y="0"/>
              </wp:wrapPolygon>
            </wp:wrapTight>
            <wp:docPr id="5" name="Picture 5" descr="http://www.theinjurylawyers.co.uk/injury-lawyers-blog/wp-content/uploads/2010/03/snail-ginger-beer-bottle-214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heinjurylawyers.co.uk/injury-lawyers-blog/wp-content/uploads/2010/03/snail-ginger-beer-bottle-214x3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5175" cy="3022600"/>
                    </a:xfrm>
                    <a:prstGeom prst="rect">
                      <a:avLst/>
                    </a:prstGeom>
                    <a:noFill/>
                    <a:ln>
                      <a:noFill/>
                    </a:ln>
                  </pic:spPr>
                </pic:pic>
              </a:graphicData>
            </a:graphic>
            <wp14:sizeRelV relativeFrom="margin">
              <wp14:pctHeight>0</wp14:pctHeight>
            </wp14:sizeRelV>
          </wp:anchor>
        </w:drawing>
      </w:r>
      <w:r w:rsidR="002C74FD" w:rsidRPr="00EA36EE">
        <w:rPr>
          <w:rFonts w:ascii="Arial" w:hAnsi="Arial" w:cs="Arial"/>
          <w:color w:val="000000"/>
          <w:sz w:val="30"/>
          <w:szCs w:val="30"/>
        </w:rPr>
        <w:t>Brisbane, of course, is where the where the forensic father of opaque ginger beer bottles was born in 1867.</w:t>
      </w:r>
    </w:p>
    <w:p w14:paraId="47BB4816" w14:textId="7E296B2E" w:rsidR="002C74FD" w:rsidRPr="00EA36EE" w:rsidRDefault="002C74FD" w:rsidP="00285A83">
      <w:pPr>
        <w:spacing w:line="360" w:lineRule="auto"/>
        <w:jc w:val="both"/>
        <w:rPr>
          <w:rFonts w:ascii="Arial" w:hAnsi="Arial" w:cs="Arial"/>
          <w:color w:val="000000"/>
          <w:sz w:val="30"/>
          <w:szCs w:val="30"/>
        </w:rPr>
      </w:pPr>
      <w:r w:rsidRPr="00EA36EE">
        <w:rPr>
          <w:rFonts w:ascii="Arial" w:hAnsi="Arial" w:cs="Arial"/>
          <w:color w:val="000000"/>
          <w:sz w:val="30"/>
          <w:szCs w:val="30"/>
        </w:rPr>
        <w:t xml:space="preserve">RSVP by 8 October 2015 </w:t>
      </w:r>
      <w:hyperlink r:id="rId11" w:history="1">
        <w:r w:rsidRPr="00EA36EE">
          <w:rPr>
            <w:rStyle w:val="Hyperlink"/>
            <w:rFonts w:ascii="Arial" w:hAnsi="Arial" w:cs="Arial"/>
            <w:b/>
            <w:bCs/>
            <w:sz w:val="30"/>
            <w:szCs w:val="30"/>
          </w:rPr>
          <w:t>events@sclqld.org.au</w:t>
        </w:r>
      </w:hyperlink>
      <w:r w:rsidRPr="00EA36EE">
        <w:rPr>
          <w:rFonts w:ascii="Arial" w:hAnsi="Arial" w:cs="Arial"/>
          <w:color w:val="000000"/>
          <w:sz w:val="30"/>
          <w:szCs w:val="30"/>
        </w:rPr>
        <w:t xml:space="preserve">. There are drinks after the lecture on the Banco Court terrace. </w:t>
      </w:r>
    </w:p>
    <w:p w14:paraId="14902AB7" w14:textId="77777777" w:rsidR="004F6961" w:rsidRPr="00EA36EE" w:rsidRDefault="004F6961" w:rsidP="004F6961">
      <w:pPr>
        <w:spacing w:line="360" w:lineRule="auto"/>
        <w:jc w:val="both"/>
        <w:rPr>
          <w:rFonts w:ascii="Arial" w:hAnsi="Arial" w:cs="Arial"/>
          <w:color w:val="000000"/>
          <w:sz w:val="30"/>
          <w:szCs w:val="30"/>
        </w:rPr>
      </w:pPr>
    </w:p>
    <w:p w14:paraId="2B3B9470" w14:textId="315BA47D" w:rsidR="00285A83" w:rsidRPr="00285A83" w:rsidRDefault="00285A83" w:rsidP="00285A83">
      <w:pPr>
        <w:spacing w:line="480" w:lineRule="auto"/>
        <w:jc w:val="both"/>
        <w:rPr>
          <w:rFonts w:ascii="Arial" w:hAnsi="Arial" w:cs="Arial"/>
          <w:b/>
          <w:color w:val="000000"/>
          <w:sz w:val="30"/>
          <w:szCs w:val="30"/>
        </w:rPr>
      </w:pPr>
      <w:r w:rsidRPr="00285A83">
        <w:rPr>
          <w:rFonts w:ascii="Arial" w:hAnsi="Arial" w:cs="Arial"/>
          <w:b/>
          <w:color w:val="000000"/>
          <w:sz w:val="30"/>
          <w:szCs w:val="30"/>
        </w:rPr>
        <w:lastRenderedPageBreak/>
        <w:t>An ANZAC symposium in Armidale in November</w:t>
      </w:r>
    </w:p>
    <w:p w14:paraId="09690799" w14:textId="6C9FDD3E" w:rsidR="00285A83" w:rsidRPr="00285A83" w:rsidRDefault="00285A83" w:rsidP="00285A83">
      <w:pPr>
        <w:pStyle w:val="NormalWeb"/>
        <w:spacing w:before="0" w:beforeAutospacing="0" w:after="270" w:afterAutospacing="0" w:line="480" w:lineRule="auto"/>
        <w:jc w:val="both"/>
        <w:textAlignment w:val="baseline"/>
        <w:rPr>
          <w:rFonts w:ascii="Arial" w:hAnsi="Arial" w:cs="Arial"/>
          <w:sz w:val="30"/>
          <w:szCs w:val="30"/>
        </w:rPr>
      </w:pPr>
      <w:r w:rsidRPr="00285A83">
        <w:rPr>
          <w:rFonts w:ascii="Arial" w:hAnsi="Arial" w:cs="Arial"/>
          <w:sz w:val="30"/>
          <w:szCs w:val="30"/>
        </w:rPr>
        <w:t xml:space="preserve">Law, War and Memory: The Nation, the Profession and Defence. This is the title of a symposium over two days including Remembrance Day in Armidale in November. For all details including how to register, click </w:t>
      </w:r>
      <w:hyperlink r:id="rId12" w:history="1">
        <w:r w:rsidRPr="00285A83">
          <w:rPr>
            <w:rStyle w:val="Hyperlink"/>
            <w:rFonts w:ascii="Arial" w:hAnsi="Arial" w:cs="Arial"/>
            <w:sz w:val="30"/>
            <w:szCs w:val="30"/>
          </w:rPr>
          <w:t>here</w:t>
        </w:r>
      </w:hyperlink>
      <w:r w:rsidRPr="00285A83">
        <w:rPr>
          <w:rFonts w:ascii="Arial" w:hAnsi="Arial" w:cs="Arial"/>
          <w:sz w:val="30"/>
          <w:szCs w:val="30"/>
        </w:rPr>
        <w:t>.</w:t>
      </w:r>
      <w:r w:rsidRPr="00285A83">
        <w:rPr>
          <w:rFonts w:ascii="Arial" w:hAnsi="Arial" w:cs="Arial"/>
          <w:color w:val="4F4F4F"/>
          <w:sz w:val="30"/>
          <w:szCs w:val="30"/>
        </w:rPr>
        <w:t xml:space="preserve"> </w:t>
      </w:r>
      <w:r w:rsidRPr="00285A83">
        <w:rPr>
          <w:rFonts w:ascii="Arial" w:hAnsi="Arial" w:cs="Arial"/>
          <w:sz w:val="30"/>
          <w:szCs w:val="30"/>
        </w:rPr>
        <w:t>The program sounds exciting; the site sums it up:</w:t>
      </w:r>
    </w:p>
    <w:p w14:paraId="68E682BE" w14:textId="1D55234B" w:rsidR="00285A83" w:rsidRPr="00285A83" w:rsidRDefault="00285A83" w:rsidP="00285A83">
      <w:pPr>
        <w:pStyle w:val="NormalWeb"/>
        <w:spacing w:before="0" w:beforeAutospacing="0" w:after="270" w:afterAutospacing="0" w:line="480" w:lineRule="auto"/>
        <w:ind w:left="720"/>
        <w:jc w:val="both"/>
        <w:textAlignment w:val="baseline"/>
        <w:rPr>
          <w:rFonts w:ascii="Arial" w:hAnsi="Arial" w:cs="Arial"/>
          <w:sz w:val="26"/>
          <w:szCs w:val="26"/>
        </w:rPr>
      </w:pPr>
      <w:r w:rsidRPr="00285A83">
        <w:rPr>
          <w:rFonts w:ascii="Arial" w:hAnsi="Arial" w:cs="Arial"/>
          <w:sz w:val="26"/>
          <w:szCs w:val="26"/>
        </w:rPr>
        <w:t xml:space="preserve">The School of Law at the University of New England, together with the Centre for Military and Security Law at the Australian National University, will be hosting a two day military legal history conference in Armidale to mark the centenary of ANZAC. Legal history is a particular focus of this Law School while military law is the focus of the Centre. We are bringing together both legal scholars and historians to consider the relationship between law, war and the defence of Australia and New Zealand from the pre-Federation period to the present day. The conference will be held on November 10th and 11th and will include an observance of Remembrance Day. There will be a formal dinner at </w:t>
      </w:r>
      <w:proofErr w:type="spellStart"/>
      <w:r w:rsidRPr="00285A83">
        <w:rPr>
          <w:rFonts w:ascii="Arial" w:hAnsi="Arial" w:cs="Arial"/>
          <w:sz w:val="26"/>
          <w:szCs w:val="26"/>
        </w:rPr>
        <w:t>Booloominbah</w:t>
      </w:r>
      <w:proofErr w:type="spellEnd"/>
      <w:r w:rsidRPr="00285A83">
        <w:rPr>
          <w:rFonts w:ascii="Arial" w:hAnsi="Arial" w:cs="Arial"/>
          <w:sz w:val="26"/>
          <w:szCs w:val="26"/>
        </w:rPr>
        <w:t>, the historic original White family home at UNE, on the Tuesday 10 November.</w:t>
      </w:r>
    </w:p>
    <w:p w14:paraId="5446414A" w14:textId="2FE456B1" w:rsidR="00285A83" w:rsidRDefault="00285A83">
      <w:pPr>
        <w:rPr>
          <w:rFonts w:ascii="Arial" w:eastAsia="Times New Roman" w:hAnsi="Arial" w:cs="Arial"/>
          <w:sz w:val="30"/>
          <w:szCs w:val="30"/>
          <w:lang w:eastAsia="en-AU"/>
        </w:rPr>
      </w:pPr>
      <w:r>
        <w:rPr>
          <w:rFonts w:ascii="Arial" w:hAnsi="Arial" w:cs="Arial"/>
          <w:sz w:val="30"/>
          <w:szCs w:val="30"/>
        </w:rPr>
        <w:br w:type="page"/>
      </w:r>
      <w:bookmarkStart w:id="1" w:name="_GoBack"/>
      <w:bookmarkEnd w:id="1"/>
    </w:p>
    <w:p w14:paraId="1F446862" w14:textId="41CB819D" w:rsidR="009F784B" w:rsidRPr="00285A83" w:rsidRDefault="002C74FD" w:rsidP="00285A83">
      <w:pPr>
        <w:spacing w:line="480" w:lineRule="auto"/>
        <w:jc w:val="both"/>
        <w:rPr>
          <w:rFonts w:ascii="Arial" w:hAnsi="Arial" w:cs="Arial"/>
          <w:b/>
          <w:sz w:val="30"/>
          <w:szCs w:val="30"/>
        </w:rPr>
      </w:pPr>
      <w:r w:rsidRPr="00285A83">
        <w:rPr>
          <w:rFonts w:ascii="Arial" w:hAnsi="Arial" w:cs="Arial"/>
          <w:b/>
          <w:sz w:val="30"/>
          <w:szCs w:val="30"/>
        </w:rPr>
        <w:lastRenderedPageBreak/>
        <w:t xml:space="preserve">Constitution patriotism in Adelaide </w:t>
      </w:r>
    </w:p>
    <w:p w14:paraId="79C359A3" w14:textId="77777777" w:rsidR="004F6961" w:rsidRPr="00EA36EE" w:rsidRDefault="004F6961" w:rsidP="004F6961">
      <w:pPr>
        <w:spacing w:line="360" w:lineRule="auto"/>
        <w:jc w:val="both"/>
        <w:rPr>
          <w:rFonts w:ascii="Arial" w:hAnsi="Arial" w:cs="Arial"/>
          <w:b/>
          <w:sz w:val="30"/>
          <w:szCs w:val="30"/>
        </w:rPr>
      </w:pPr>
    </w:p>
    <w:p w14:paraId="2D41B0C6" w14:textId="09D8C386" w:rsidR="00A648F7" w:rsidRPr="00EA36EE" w:rsidRDefault="009F784B" w:rsidP="004F6961">
      <w:pPr>
        <w:spacing w:line="360" w:lineRule="auto"/>
        <w:jc w:val="both"/>
        <w:rPr>
          <w:rFonts w:ascii="Arial" w:hAnsi="Arial" w:cs="Arial"/>
          <w:sz w:val="30"/>
          <w:szCs w:val="30"/>
        </w:rPr>
      </w:pPr>
      <w:r w:rsidRPr="00EA36EE">
        <w:rPr>
          <w:rFonts w:ascii="Arial" w:hAnsi="Arial" w:cs="Arial"/>
          <w:sz w:val="30"/>
          <w:szCs w:val="30"/>
        </w:rPr>
        <w:t xml:space="preserve">On 17 &amp; 18 September 2015, </w:t>
      </w:r>
      <w:r w:rsidR="002C74FD" w:rsidRPr="00EA36EE">
        <w:rPr>
          <w:rFonts w:ascii="Arial" w:hAnsi="Arial" w:cs="Arial"/>
          <w:sz w:val="30"/>
          <w:szCs w:val="30"/>
        </w:rPr>
        <w:t xml:space="preserve">I was delighted to be one of the paper-givers at a conference at </w:t>
      </w:r>
      <w:r w:rsidR="00A648F7" w:rsidRPr="00EA36EE">
        <w:rPr>
          <w:rFonts w:ascii="Arial" w:hAnsi="Arial" w:cs="Arial"/>
          <w:sz w:val="30"/>
          <w:szCs w:val="30"/>
        </w:rPr>
        <w:t>the University of Adelaide, “</w:t>
      </w:r>
      <w:r w:rsidRPr="00EA36EE">
        <w:rPr>
          <w:rFonts w:ascii="Arial" w:hAnsi="Arial" w:cs="Arial"/>
          <w:sz w:val="30"/>
          <w:szCs w:val="30"/>
        </w:rPr>
        <w:t>Constitutional Patriotism: Founding documents and the emotions from Magna Carta to the Declaration of Human Rights</w:t>
      </w:r>
      <w:r w:rsidR="00A648F7" w:rsidRPr="00EA36EE">
        <w:rPr>
          <w:rFonts w:ascii="Arial" w:hAnsi="Arial" w:cs="Arial"/>
          <w:sz w:val="30"/>
          <w:szCs w:val="30"/>
        </w:rPr>
        <w:t xml:space="preserve">”. Professor David Lemmings &amp; Emeritus Professor Wilf </w:t>
      </w:r>
      <w:proofErr w:type="spellStart"/>
      <w:r w:rsidR="00A648F7" w:rsidRPr="00EA36EE">
        <w:rPr>
          <w:rFonts w:ascii="Arial" w:hAnsi="Arial" w:cs="Arial"/>
          <w:sz w:val="30"/>
          <w:szCs w:val="30"/>
        </w:rPr>
        <w:t>Prest</w:t>
      </w:r>
      <w:proofErr w:type="spellEnd"/>
      <w:r w:rsidR="00A648F7" w:rsidRPr="00EA36EE">
        <w:rPr>
          <w:rFonts w:ascii="Arial" w:hAnsi="Arial" w:cs="Arial"/>
          <w:sz w:val="30"/>
          <w:szCs w:val="30"/>
        </w:rPr>
        <w:t xml:space="preserve"> organised the conference, thus making it squarely in William Blackstone territory! For abstracts and biographies of the speakers click </w:t>
      </w:r>
      <w:hyperlink r:id="rId13" w:history="1">
        <w:r w:rsidR="00A648F7" w:rsidRPr="00EA36EE">
          <w:rPr>
            <w:rStyle w:val="Hyperlink"/>
            <w:rFonts w:ascii="Arial" w:hAnsi="Arial" w:cs="Arial"/>
            <w:sz w:val="30"/>
            <w:szCs w:val="30"/>
          </w:rPr>
          <w:t>here</w:t>
        </w:r>
      </w:hyperlink>
      <w:r w:rsidR="00A648F7" w:rsidRPr="00EA36EE">
        <w:rPr>
          <w:rFonts w:ascii="Arial" w:hAnsi="Arial" w:cs="Arial"/>
          <w:sz w:val="30"/>
          <w:szCs w:val="30"/>
        </w:rPr>
        <w:t>.</w:t>
      </w:r>
    </w:p>
    <w:p w14:paraId="5652B408" w14:textId="77777777" w:rsidR="004F6961" w:rsidRPr="00EA36EE" w:rsidRDefault="004F6961" w:rsidP="004F6961">
      <w:pPr>
        <w:spacing w:line="360" w:lineRule="auto"/>
        <w:jc w:val="both"/>
        <w:rPr>
          <w:rFonts w:ascii="Arial" w:hAnsi="Arial" w:cs="Arial"/>
          <w:sz w:val="30"/>
          <w:szCs w:val="30"/>
        </w:rPr>
      </w:pPr>
    </w:p>
    <w:p w14:paraId="23811D42" w14:textId="39B8DAE8" w:rsidR="00A648F7" w:rsidRPr="00EA36EE" w:rsidRDefault="00A648F7" w:rsidP="004F6961">
      <w:pPr>
        <w:spacing w:line="360" w:lineRule="auto"/>
        <w:jc w:val="both"/>
        <w:rPr>
          <w:rFonts w:ascii="Arial" w:hAnsi="Arial" w:cs="Arial"/>
          <w:b/>
          <w:color w:val="000000"/>
          <w:sz w:val="30"/>
          <w:szCs w:val="30"/>
        </w:rPr>
      </w:pPr>
      <w:r w:rsidRPr="00EA36EE">
        <w:rPr>
          <w:rFonts w:ascii="Arial" w:hAnsi="Arial" w:cs="Arial"/>
          <w:b/>
          <w:color w:val="000000"/>
          <w:sz w:val="30"/>
          <w:szCs w:val="30"/>
        </w:rPr>
        <w:t>The Block</w:t>
      </w:r>
      <w:r w:rsidR="00FD433D" w:rsidRPr="00EA36EE">
        <w:rPr>
          <w:rFonts w:ascii="Arial" w:hAnsi="Arial" w:cs="Arial"/>
          <w:b/>
          <w:color w:val="000000"/>
          <w:sz w:val="30"/>
          <w:szCs w:val="30"/>
        </w:rPr>
        <w:t xml:space="preserve"> and the land of coincidence</w:t>
      </w:r>
    </w:p>
    <w:p w14:paraId="3DD16D73" w14:textId="77777777" w:rsidR="004F6961" w:rsidRPr="00EA36EE" w:rsidRDefault="004F6961" w:rsidP="004F6961">
      <w:pPr>
        <w:spacing w:line="360" w:lineRule="auto"/>
        <w:jc w:val="both"/>
        <w:rPr>
          <w:rFonts w:ascii="Arial" w:hAnsi="Arial" w:cs="Arial"/>
          <w:b/>
          <w:color w:val="000000"/>
          <w:sz w:val="30"/>
          <w:szCs w:val="30"/>
        </w:rPr>
      </w:pPr>
    </w:p>
    <w:p w14:paraId="1AFF650D" w14:textId="765FFF52" w:rsidR="00A648F7" w:rsidRPr="00EA36EE" w:rsidRDefault="00A648F7" w:rsidP="004F6961">
      <w:pPr>
        <w:spacing w:line="360" w:lineRule="auto"/>
        <w:jc w:val="both"/>
        <w:rPr>
          <w:rFonts w:ascii="Arial" w:hAnsi="Arial" w:cs="Arial"/>
          <w:color w:val="000000"/>
          <w:sz w:val="30"/>
          <w:szCs w:val="30"/>
        </w:rPr>
      </w:pPr>
      <w:r w:rsidRPr="00EA36EE">
        <w:rPr>
          <w:rFonts w:ascii="Arial" w:hAnsi="Arial" w:cs="Arial"/>
          <w:color w:val="000000"/>
          <w:sz w:val="30"/>
          <w:szCs w:val="30"/>
        </w:rPr>
        <w:t>The Block in Sydney’s Redfern is part of Aboriginal Australia’s heritage. The Whitlam government facilitated its purchase by the Aboriginal community in 1973.</w:t>
      </w:r>
      <w:r w:rsidR="00EA36EE">
        <w:rPr>
          <w:rFonts w:ascii="Arial" w:hAnsi="Arial" w:cs="Arial"/>
          <w:color w:val="000000"/>
          <w:sz w:val="30"/>
          <w:szCs w:val="30"/>
        </w:rPr>
        <w:t xml:space="preserve"> </w:t>
      </w:r>
    </w:p>
    <w:p w14:paraId="429523EB" w14:textId="68DCF196" w:rsidR="00A648F7" w:rsidRPr="00EA36EE" w:rsidRDefault="00553BBD" w:rsidP="004F6961">
      <w:pPr>
        <w:spacing w:line="360" w:lineRule="auto"/>
        <w:jc w:val="both"/>
        <w:rPr>
          <w:rFonts w:ascii="Arial" w:hAnsi="Arial" w:cs="Arial"/>
          <w:color w:val="000000"/>
          <w:sz w:val="30"/>
          <w:szCs w:val="30"/>
        </w:rPr>
      </w:pPr>
      <w:r>
        <w:rPr>
          <w:noProof/>
          <w:lang w:eastAsia="en-AU"/>
        </w:rPr>
        <w:drawing>
          <wp:anchor distT="0" distB="0" distL="114300" distR="114300" simplePos="0" relativeHeight="251660288" behindDoc="1" locked="0" layoutInCell="1" allowOverlap="1" wp14:anchorId="570D332D" wp14:editId="218E3D93">
            <wp:simplePos x="0" y="0"/>
            <wp:positionH relativeFrom="column">
              <wp:posOffset>0</wp:posOffset>
            </wp:positionH>
            <wp:positionV relativeFrom="paragraph">
              <wp:posOffset>1188</wp:posOffset>
            </wp:positionV>
            <wp:extent cx="3369986" cy="2243151"/>
            <wp:effectExtent l="0" t="0" r="1905" b="5080"/>
            <wp:wrapTight wrapText="bothSides">
              <wp:wrapPolygon edited="0">
                <wp:start x="0" y="0"/>
                <wp:lineTo x="0" y="21465"/>
                <wp:lineTo x="21490" y="21465"/>
                <wp:lineTo x="21490" y="0"/>
                <wp:lineTo x="0" y="0"/>
              </wp:wrapPolygon>
            </wp:wrapTight>
            <wp:docPr id="7" name="Picture 7" descr="Impasse … Meredith Burgmann stepped in over the development on the 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passe … Meredith Burgmann stepped in over the development on the Bloc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9986" cy="2243151"/>
                    </a:xfrm>
                    <a:prstGeom prst="rect">
                      <a:avLst/>
                    </a:prstGeom>
                    <a:noFill/>
                    <a:ln>
                      <a:noFill/>
                    </a:ln>
                  </pic:spPr>
                </pic:pic>
              </a:graphicData>
            </a:graphic>
          </wp:anchor>
        </w:drawing>
      </w:r>
      <w:r w:rsidR="00A648F7" w:rsidRPr="00EA36EE">
        <w:rPr>
          <w:rFonts w:ascii="Arial" w:hAnsi="Arial" w:cs="Arial"/>
          <w:color w:val="000000"/>
          <w:sz w:val="30"/>
          <w:szCs w:val="30"/>
        </w:rPr>
        <w:t>Recently, the Block was a focal point of liti</w:t>
      </w:r>
      <w:r w:rsidR="00D21F7C" w:rsidRPr="00EA36EE">
        <w:rPr>
          <w:rFonts w:ascii="Arial" w:hAnsi="Arial" w:cs="Arial"/>
          <w:color w:val="000000"/>
          <w:sz w:val="30"/>
          <w:szCs w:val="30"/>
        </w:rPr>
        <w:t>gation in the NSW Supreme Court.</w:t>
      </w:r>
    </w:p>
    <w:p w14:paraId="3D5876D7" w14:textId="7F2D08BD" w:rsidR="00A648F7" w:rsidRPr="00EA36EE" w:rsidRDefault="00A648F7" w:rsidP="004F6961">
      <w:pPr>
        <w:spacing w:line="360" w:lineRule="auto"/>
        <w:jc w:val="both"/>
        <w:rPr>
          <w:rFonts w:ascii="Arial" w:hAnsi="Arial" w:cs="Arial"/>
          <w:color w:val="000000"/>
          <w:sz w:val="30"/>
          <w:szCs w:val="30"/>
        </w:rPr>
      </w:pPr>
      <w:r w:rsidRPr="00EA36EE">
        <w:rPr>
          <w:rFonts w:ascii="Arial" w:hAnsi="Arial" w:cs="Arial"/>
          <w:color w:val="000000"/>
          <w:sz w:val="30"/>
          <w:szCs w:val="30"/>
        </w:rPr>
        <w:t xml:space="preserve">An aside </w:t>
      </w:r>
      <w:r w:rsidR="00D21F7C" w:rsidRPr="00EA36EE">
        <w:rPr>
          <w:rFonts w:ascii="Arial" w:hAnsi="Arial" w:cs="Arial"/>
          <w:color w:val="000000"/>
          <w:sz w:val="30"/>
          <w:szCs w:val="30"/>
        </w:rPr>
        <w:t xml:space="preserve">emerging in the hearing was </w:t>
      </w:r>
      <w:r w:rsidRPr="00EA36EE">
        <w:rPr>
          <w:rFonts w:ascii="Arial" w:hAnsi="Arial" w:cs="Arial"/>
          <w:color w:val="000000"/>
          <w:sz w:val="30"/>
          <w:szCs w:val="30"/>
        </w:rPr>
        <w:t xml:space="preserve">that the Block was part of a Crown land grant of 52 acres [21 hectares] to an ex-convict called William Hutchinson in 1819. What makes the aside interesting is that Mr Hutchinson was later granted </w:t>
      </w:r>
      <w:r w:rsidRPr="00EA36EE">
        <w:rPr>
          <w:rFonts w:ascii="Arial" w:hAnsi="Arial" w:cs="Arial"/>
          <w:color w:val="000000"/>
          <w:sz w:val="30"/>
          <w:szCs w:val="30"/>
        </w:rPr>
        <w:lastRenderedPageBreak/>
        <w:t>another 1</w:t>
      </w:r>
      <w:r w:rsidR="00553BBD">
        <w:rPr>
          <w:rFonts w:ascii="Arial" w:hAnsi="Arial" w:cs="Arial"/>
          <w:color w:val="000000"/>
          <w:sz w:val="30"/>
          <w:szCs w:val="30"/>
        </w:rPr>
        <w:t>,</w:t>
      </w:r>
      <w:r w:rsidRPr="00EA36EE">
        <w:rPr>
          <w:rFonts w:ascii="Arial" w:hAnsi="Arial" w:cs="Arial"/>
          <w:color w:val="000000"/>
          <w:sz w:val="30"/>
          <w:szCs w:val="30"/>
        </w:rPr>
        <w:t xml:space="preserve">400 acres, the nearby Waterloo Estate, which in 1889 became the land in dispute in </w:t>
      </w:r>
      <w:r w:rsidRPr="00EA36EE">
        <w:rPr>
          <w:rFonts w:ascii="Arial" w:hAnsi="Arial" w:cs="Arial"/>
          <w:i/>
          <w:color w:val="000000"/>
          <w:sz w:val="30"/>
          <w:szCs w:val="30"/>
        </w:rPr>
        <w:t>Cooper v Stuart</w:t>
      </w:r>
      <w:r w:rsidRPr="00EA36EE">
        <w:rPr>
          <w:rFonts w:ascii="Arial" w:hAnsi="Arial" w:cs="Arial"/>
          <w:color w:val="000000"/>
          <w:sz w:val="30"/>
          <w:szCs w:val="30"/>
        </w:rPr>
        <w:t xml:space="preserve">, a high point in the articulation of doctrine we now know as terra nullius, the legal fiction exposed in the 1992 </w:t>
      </w:r>
      <w:r w:rsidRPr="00EA36EE">
        <w:rPr>
          <w:rFonts w:ascii="Arial" w:hAnsi="Arial" w:cs="Arial"/>
          <w:i/>
          <w:color w:val="000000"/>
          <w:sz w:val="30"/>
          <w:szCs w:val="30"/>
        </w:rPr>
        <w:t>Mabo case</w:t>
      </w:r>
      <w:r w:rsidRPr="00EA36EE">
        <w:rPr>
          <w:rFonts w:ascii="Arial" w:hAnsi="Arial" w:cs="Arial"/>
          <w:color w:val="000000"/>
          <w:sz w:val="30"/>
          <w:szCs w:val="30"/>
        </w:rPr>
        <w:t>.</w:t>
      </w:r>
      <w:r w:rsidR="00FD433D" w:rsidRPr="00EA36EE">
        <w:rPr>
          <w:rFonts w:ascii="Arial" w:hAnsi="Arial" w:cs="Arial"/>
          <w:color w:val="000000"/>
          <w:sz w:val="30"/>
          <w:szCs w:val="30"/>
        </w:rPr>
        <w:t xml:space="preserve"> Almost adjoining pieces of land which together form part of an often volatile and always fascinating history.</w:t>
      </w:r>
    </w:p>
    <w:p w14:paraId="56097C43" w14:textId="77777777" w:rsidR="00FD433D" w:rsidRPr="00EA36EE" w:rsidRDefault="00FD433D" w:rsidP="004F6961">
      <w:pPr>
        <w:spacing w:line="360" w:lineRule="auto"/>
        <w:jc w:val="both"/>
        <w:rPr>
          <w:rFonts w:ascii="Arial" w:hAnsi="Arial" w:cs="Arial"/>
          <w:sz w:val="30"/>
          <w:szCs w:val="30"/>
        </w:rPr>
      </w:pPr>
    </w:p>
    <w:p w14:paraId="2307B404" w14:textId="77777777" w:rsidR="009F784B" w:rsidRPr="00EA36EE" w:rsidRDefault="009F784B" w:rsidP="004F6961">
      <w:pPr>
        <w:spacing w:line="360" w:lineRule="auto"/>
        <w:jc w:val="both"/>
        <w:rPr>
          <w:rFonts w:ascii="Arial" w:hAnsi="Arial" w:cs="Arial"/>
          <w:b/>
          <w:sz w:val="30"/>
          <w:szCs w:val="30"/>
          <w:lang w:eastAsia="en-AU"/>
        </w:rPr>
      </w:pPr>
      <w:r w:rsidRPr="00EA36EE">
        <w:rPr>
          <w:rFonts w:ascii="Arial" w:hAnsi="Arial" w:cs="Arial"/>
          <w:b/>
          <w:sz w:val="30"/>
          <w:szCs w:val="30"/>
          <w:bdr w:val="none" w:sz="0" w:space="0" w:color="auto" w:frame="1"/>
          <w:lang w:eastAsia="en-AU"/>
        </w:rPr>
        <w:t>Winter Quarters</w:t>
      </w:r>
      <w:r w:rsidRPr="00EA36EE">
        <w:rPr>
          <w:rStyle w:val="FootnoteReference"/>
          <w:rFonts w:ascii="Arial" w:hAnsi="Arial" w:cs="Arial"/>
          <w:b/>
          <w:bCs/>
          <w:sz w:val="30"/>
          <w:szCs w:val="30"/>
          <w:bdr w:val="none" w:sz="0" w:space="0" w:color="auto" w:frame="1"/>
          <w:lang w:eastAsia="en-AU"/>
        </w:rPr>
        <w:footnoteReference w:id="1"/>
      </w:r>
    </w:p>
    <w:p w14:paraId="2660A6C0" w14:textId="77777777" w:rsidR="004F6961" w:rsidRPr="00EA36EE" w:rsidRDefault="004F6961" w:rsidP="004F6961">
      <w:pPr>
        <w:spacing w:line="360" w:lineRule="auto"/>
        <w:jc w:val="both"/>
        <w:rPr>
          <w:rFonts w:ascii="Arial" w:hAnsi="Arial" w:cs="Arial"/>
          <w:i/>
          <w:iCs/>
          <w:sz w:val="30"/>
          <w:szCs w:val="30"/>
          <w:bdr w:val="none" w:sz="0" w:space="0" w:color="auto" w:frame="1"/>
          <w:lang w:eastAsia="en-AU"/>
        </w:rPr>
      </w:pPr>
    </w:p>
    <w:p w14:paraId="7991BA37" w14:textId="77777777" w:rsidR="009F784B" w:rsidRPr="00EA36EE" w:rsidRDefault="009F784B" w:rsidP="004F6961">
      <w:pPr>
        <w:spacing w:line="360" w:lineRule="auto"/>
        <w:jc w:val="both"/>
        <w:rPr>
          <w:rFonts w:ascii="Arial" w:hAnsi="Arial" w:cs="Arial"/>
          <w:sz w:val="30"/>
          <w:szCs w:val="30"/>
          <w:lang w:eastAsia="en-AU"/>
        </w:rPr>
      </w:pPr>
      <w:r w:rsidRPr="00EA36EE">
        <w:rPr>
          <w:rFonts w:ascii="Arial" w:hAnsi="Arial" w:cs="Arial"/>
          <w:i/>
          <w:iCs/>
          <w:sz w:val="30"/>
          <w:szCs w:val="30"/>
          <w:bdr w:val="none" w:sz="0" w:space="0" w:color="auto" w:frame="1"/>
          <w:lang w:eastAsia="en-AU"/>
        </w:rPr>
        <w:t>In 1815</w:t>
      </w:r>
    </w:p>
    <w:p w14:paraId="64E9E2A6" w14:textId="77777777" w:rsidR="004F6961" w:rsidRPr="00EA36EE" w:rsidRDefault="004F6961" w:rsidP="004F6961">
      <w:pPr>
        <w:spacing w:line="360" w:lineRule="auto"/>
        <w:jc w:val="both"/>
        <w:rPr>
          <w:rFonts w:ascii="Arial" w:hAnsi="Arial" w:cs="Arial"/>
          <w:sz w:val="30"/>
          <w:szCs w:val="30"/>
          <w:lang w:eastAsia="en-AU"/>
        </w:rPr>
      </w:pPr>
    </w:p>
    <w:p w14:paraId="66A1DC18" w14:textId="49B2F0F5" w:rsidR="009F784B" w:rsidRPr="00EA36EE" w:rsidRDefault="009F784B" w:rsidP="004F6961">
      <w:pPr>
        <w:spacing w:line="360" w:lineRule="auto"/>
        <w:jc w:val="both"/>
        <w:rPr>
          <w:rFonts w:ascii="Arial" w:hAnsi="Arial" w:cs="Arial"/>
          <w:sz w:val="30"/>
          <w:szCs w:val="30"/>
          <w:shd w:val="clear" w:color="auto" w:fill="EEEEEE"/>
        </w:rPr>
      </w:pPr>
      <w:r w:rsidRPr="00EA36EE">
        <w:rPr>
          <w:rFonts w:ascii="Arial" w:hAnsi="Arial" w:cs="Arial"/>
          <w:sz w:val="30"/>
          <w:szCs w:val="30"/>
          <w:lang w:eastAsia="en-AU"/>
        </w:rPr>
        <w:t xml:space="preserve">On </w:t>
      </w:r>
      <w:r w:rsidR="00D21F7C" w:rsidRPr="00EA36EE">
        <w:rPr>
          <w:rFonts w:ascii="Arial" w:hAnsi="Arial" w:cs="Arial"/>
          <w:sz w:val="30"/>
          <w:szCs w:val="30"/>
          <w:lang w:eastAsia="en-AU"/>
        </w:rPr>
        <w:t xml:space="preserve">20 November, </w:t>
      </w:r>
      <w:r w:rsidR="00141048" w:rsidRPr="00EA36EE">
        <w:rPr>
          <w:rFonts w:ascii="Arial" w:hAnsi="Arial" w:cs="Arial"/>
          <w:sz w:val="30"/>
          <w:szCs w:val="30"/>
          <w:shd w:val="clear" w:color="auto" w:fill="EEEEEE"/>
        </w:rPr>
        <w:t>t</w:t>
      </w:r>
      <w:r w:rsidR="00D21F7C" w:rsidRPr="00EA36EE">
        <w:rPr>
          <w:rFonts w:ascii="Arial" w:hAnsi="Arial" w:cs="Arial"/>
          <w:sz w:val="30"/>
          <w:szCs w:val="30"/>
          <w:shd w:val="clear" w:color="auto" w:fill="EEEEEE"/>
        </w:rPr>
        <w:t>he treaties known collectively as the 2nd Peace of Paris were concluded</w:t>
      </w:r>
      <w:r w:rsidR="004F6961" w:rsidRPr="00EA36EE">
        <w:rPr>
          <w:rFonts w:ascii="Arial" w:hAnsi="Arial" w:cs="Arial"/>
          <w:sz w:val="30"/>
          <w:szCs w:val="30"/>
          <w:shd w:val="clear" w:color="auto" w:fill="EEEEEE"/>
        </w:rPr>
        <w:t xml:space="preserve">, </w:t>
      </w:r>
      <w:r w:rsidR="00D21F7C" w:rsidRPr="00EA36EE">
        <w:rPr>
          <w:rFonts w:ascii="Arial" w:hAnsi="Arial" w:cs="Arial"/>
          <w:sz w:val="30"/>
          <w:szCs w:val="30"/>
          <w:shd w:val="clear" w:color="auto" w:fill="EEEEEE"/>
        </w:rPr>
        <w:t xml:space="preserve">Austria’s </w:t>
      </w:r>
      <w:proofErr w:type="spellStart"/>
      <w:r w:rsidR="00D21F7C" w:rsidRPr="00EA36EE">
        <w:rPr>
          <w:rFonts w:ascii="Arial" w:hAnsi="Arial" w:cs="Arial"/>
          <w:sz w:val="30"/>
          <w:szCs w:val="30"/>
          <w:shd w:val="clear" w:color="auto" w:fill="EEEEEE"/>
        </w:rPr>
        <w:t>Klemens</w:t>
      </w:r>
      <w:proofErr w:type="spellEnd"/>
      <w:r w:rsidR="00D21F7C" w:rsidRPr="00EA36EE">
        <w:rPr>
          <w:rFonts w:ascii="Arial" w:hAnsi="Arial" w:cs="Arial"/>
          <w:sz w:val="30"/>
          <w:szCs w:val="30"/>
          <w:shd w:val="clear" w:color="auto" w:fill="EEEEEE"/>
        </w:rPr>
        <w:t xml:space="preserve"> von Metternich </w:t>
      </w:r>
      <w:r w:rsidR="004F6961" w:rsidRPr="00EA36EE">
        <w:rPr>
          <w:rFonts w:ascii="Arial" w:hAnsi="Arial" w:cs="Arial"/>
          <w:sz w:val="30"/>
          <w:szCs w:val="30"/>
          <w:shd w:val="clear" w:color="auto" w:fill="EEEEEE"/>
        </w:rPr>
        <w:t>helping to create a “Concert of Europe”.</w:t>
      </w:r>
    </w:p>
    <w:p w14:paraId="625DF5FE" w14:textId="77777777" w:rsidR="004F6961" w:rsidRPr="00EA36EE" w:rsidRDefault="004F6961" w:rsidP="004F6961">
      <w:pPr>
        <w:spacing w:line="360" w:lineRule="auto"/>
        <w:jc w:val="both"/>
        <w:rPr>
          <w:rFonts w:ascii="Arial" w:hAnsi="Arial" w:cs="Arial"/>
          <w:sz w:val="30"/>
          <w:szCs w:val="30"/>
          <w:lang w:eastAsia="en-AU"/>
        </w:rPr>
      </w:pPr>
    </w:p>
    <w:p w14:paraId="6A857855" w14:textId="77777777" w:rsidR="009F784B" w:rsidRPr="00EA36EE" w:rsidRDefault="009F784B" w:rsidP="004F6961">
      <w:pPr>
        <w:spacing w:line="360" w:lineRule="auto"/>
        <w:jc w:val="both"/>
        <w:rPr>
          <w:rFonts w:ascii="Arial" w:hAnsi="Arial" w:cs="Arial"/>
          <w:i/>
          <w:iCs/>
          <w:sz w:val="30"/>
          <w:szCs w:val="30"/>
          <w:bdr w:val="none" w:sz="0" w:space="0" w:color="auto" w:frame="1"/>
          <w:lang w:eastAsia="en-AU"/>
        </w:rPr>
      </w:pPr>
      <w:r w:rsidRPr="00EA36EE">
        <w:rPr>
          <w:rFonts w:ascii="Arial" w:hAnsi="Arial" w:cs="Arial"/>
          <w:i/>
          <w:iCs/>
          <w:sz w:val="30"/>
          <w:szCs w:val="30"/>
          <w:bdr w:val="none" w:sz="0" w:space="0" w:color="auto" w:frame="1"/>
          <w:lang w:eastAsia="en-AU"/>
        </w:rPr>
        <w:t>In 1865</w:t>
      </w:r>
    </w:p>
    <w:p w14:paraId="70D2BF1E" w14:textId="77777777" w:rsidR="004F6961" w:rsidRPr="00EA36EE" w:rsidRDefault="004F6961" w:rsidP="004F6961">
      <w:pPr>
        <w:spacing w:line="360" w:lineRule="auto"/>
        <w:jc w:val="both"/>
        <w:rPr>
          <w:rFonts w:ascii="Arial" w:hAnsi="Arial" w:cs="Arial"/>
          <w:sz w:val="30"/>
          <w:szCs w:val="30"/>
          <w:lang w:eastAsia="en-AU"/>
        </w:rPr>
      </w:pPr>
    </w:p>
    <w:p w14:paraId="1B4F18BA" w14:textId="03036A68" w:rsidR="00141048" w:rsidRPr="00EA36EE" w:rsidRDefault="00141048" w:rsidP="004F6961">
      <w:pPr>
        <w:spacing w:line="360" w:lineRule="auto"/>
        <w:jc w:val="both"/>
        <w:rPr>
          <w:rFonts w:ascii="Arial" w:hAnsi="Arial" w:cs="Arial"/>
          <w:sz w:val="30"/>
          <w:szCs w:val="30"/>
          <w:lang w:eastAsia="en-AU"/>
        </w:rPr>
      </w:pPr>
      <w:r w:rsidRPr="00EA36EE">
        <w:rPr>
          <w:rFonts w:ascii="Arial" w:hAnsi="Arial" w:cs="Arial"/>
          <w:sz w:val="30"/>
          <w:szCs w:val="30"/>
          <w:lang w:eastAsia="en-AU"/>
        </w:rPr>
        <w:t xml:space="preserve">On 6 November, </w:t>
      </w:r>
      <w:r w:rsidR="004F6961" w:rsidRPr="00EA36EE">
        <w:rPr>
          <w:rFonts w:ascii="Arial" w:hAnsi="Arial" w:cs="Arial"/>
          <w:sz w:val="30"/>
          <w:szCs w:val="30"/>
        </w:rPr>
        <w:t>t</w:t>
      </w:r>
      <w:r w:rsidRPr="00EA36EE">
        <w:rPr>
          <w:rFonts w:ascii="Arial" w:hAnsi="Arial" w:cs="Arial"/>
          <w:sz w:val="30"/>
          <w:szCs w:val="30"/>
        </w:rPr>
        <w:t xml:space="preserve">he Confederate ship Shenandoah under </w:t>
      </w:r>
      <w:r w:rsidR="004F6961" w:rsidRPr="00EA36EE">
        <w:rPr>
          <w:rFonts w:ascii="Arial" w:hAnsi="Arial" w:cs="Arial"/>
          <w:sz w:val="30"/>
          <w:szCs w:val="30"/>
        </w:rPr>
        <w:t>Captain</w:t>
      </w:r>
      <w:r w:rsidRPr="00EA36EE">
        <w:rPr>
          <w:rFonts w:ascii="Arial" w:hAnsi="Arial" w:cs="Arial"/>
          <w:sz w:val="30"/>
          <w:szCs w:val="30"/>
        </w:rPr>
        <w:t xml:space="preserve"> James Waddell surrendered in Liverpool, England, after attacking Yankee commercial shipping off the coast of Alaska. It had sunk of captured 38 vessels, mostly New Bedford whaleships. The surrender of the Shenandoah was the last act of the US Civil War.</w:t>
      </w:r>
      <w:r w:rsidRPr="00EA36EE">
        <w:rPr>
          <w:rFonts w:ascii="Arial" w:hAnsi="Arial" w:cs="Arial"/>
          <w:sz w:val="30"/>
          <w:szCs w:val="30"/>
          <w:lang w:eastAsia="en-AU"/>
        </w:rPr>
        <w:t xml:space="preserve"> </w:t>
      </w:r>
    </w:p>
    <w:p w14:paraId="75AAA889" w14:textId="77777777" w:rsidR="009F784B" w:rsidRPr="00EA36EE" w:rsidRDefault="009F784B" w:rsidP="004F6961">
      <w:pPr>
        <w:spacing w:line="360" w:lineRule="auto"/>
        <w:jc w:val="both"/>
        <w:rPr>
          <w:rFonts w:ascii="Arial" w:hAnsi="Arial" w:cs="Arial"/>
          <w:i/>
          <w:iCs/>
          <w:sz w:val="30"/>
          <w:szCs w:val="30"/>
          <w:bdr w:val="none" w:sz="0" w:space="0" w:color="auto" w:frame="1"/>
          <w:lang w:eastAsia="en-AU"/>
        </w:rPr>
      </w:pPr>
      <w:r w:rsidRPr="00EA36EE">
        <w:rPr>
          <w:rFonts w:ascii="Arial" w:hAnsi="Arial" w:cs="Arial"/>
          <w:i/>
          <w:iCs/>
          <w:sz w:val="30"/>
          <w:szCs w:val="30"/>
          <w:bdr w:val="none" w:sz="0" w:space="0" w:color="auto" w:frame="1"/>
          <w:lang w:eastAsia="en-AU"/>
        </w:rPr>
        <w:lastRenderedPageBreak/>
        <w:t>In 1915</w:t>
      </w:r>
    </w:p>
    <w:p w14:paraId="2100CAB2" w14:textId="77777777" w:rsidR="004F6961" w:rsidRPr="00EA36EE" w:rsidRDefault="004F6961" w:rsidP="004F6961">
      <w:pPr>
        <w:spacing w:line="360" w:lineRule="auto"/>
        <w:jc w:val="both"/>
        <w:rPr>
          <w:rFonts w:ascii="Arial" w:hAnsi="Arial" w:cs="Arial"/>
          <w:i/>
          <w:iCs/>
          <w:sz w:val="30"/>
          <w:szCs w:val="30"/>
          <w:bdr w:val="none" w:sz="0" w:space="0" w:color="auto" w:frame="1"/>
          <w:lang w:eastAsia="en-AU"/>
        </w:rPr>
      </w:pPr>
    </w:p>
    <w:p w14:paraId="3C479ED8" w14:textId="25D35EA1" w:rsidR="00141048" w:rsidRPr="00EA36EE" w:rsidRDefault="00141048" w:rsidP="004F6961">
      <w:pPr>
        <w:spacing w:line="360" w:lineRule="auto"/>
        <w:jc w:val="both"/>
        <w:rPr>
          <w:rFonts w:ascii="Arial" w:hAnsi="Arial" w:cs="Arial"/>
          <w:sz w:val="30"/>
          <w:szCs w:val="30"/>
          <w:shd w:val="clear" w:color="auto" w:fill="FFFFFF"/>
        </w:rPr>
      </w:pPr>
      <w:r w:rsidRPr="00EA36EE">
        <w:rPr>
          <w:rFonts w:ascii="Arial" w:hAnsi="Arial" w:cs="Arial"/>
          <w:iCs/>
          <w:sz w:val="30"/>
          <w:szCs w:val="30"/>
          <w:bdr w:val="none" w:sz="0" w:space="0" w:color="auto" w:frame="1"/>
          <w:lang w:eastAsia="en-AU"/>
        </w:rPr>
        <w:t xml:space="preserve">On 21 September, Anthony Comstock, proponent of the 1873 US Comstock Law, </w:t>
      </w:r>
      <w:proofErr w:type="gramStart"/>
      <w:r w:rsidRPr="00EA36EE">
        <w:rPr>
          <w:rFonts w:ascii="Arial" w:hAnsi="Arial" w:cs="Arial"/>
          <w:iCs/>
          <w:sz w:val="30"/>
          <w:szCs w:val="30"/>
          <w:bdr w:val="none" w:sz="0" w:space="0" w:color="auto" w:frame="1"/>
          <w:lang w:eastAsia="en-AU"/>
        </w:rPr>
        <w:t xml:space="preserve">an </w:t>
      </w:r>
      <w:r w:rsidRPr="00EA36EE">
        <w:rPr>
          <w:rStyle w:val="apple-converted-space"/>
          <w:rFonts w:ascii="Arial" w:hAnsi="Arial" w:cs="Arial"/>
          <w:sz w:val="30"/>
          <w:szCs w:val="30"/>
          <w:shd w:val="clear" w:color="auto" w:fill="FFFFFF"/>
        </w:rPr>
        <w:t> </w:t>
      </w:r>
      <w:r w:rsidRPr="00EA36EE">
        <w:rPr>
          <w:rFonts w:ascii="Arial" w:hAnsi="Arial" w:cs="Arial"/>
          <w:sz w:val="30"/>
          <w:szCs w:val="30"/>
          <w:shd w:val="clear" w:color="auto" w:fill="FFFFFF"/>
        </w:rPr>
        <w:t>Act</w:t>
      </w:r>
      <w:proofErr w:type="gramEnd"/>
      <w:r w:rsidRPr="00EA36EE">
        <w:rPr>
          <w:rFonts w:ascii="Arial" w:hAnsi="Arial" w:cs="Arial"/>
          <w:sz w:val="30"/>
          <w:szCs w:val="30"/>
          <w:shd w:val="clear" w:color="auto" w:fill="FFFFFF"/>
        </w:rPr>
        <w:t xml:space="preserve"> for the "Suppression of Trade in, and Circulation of, Obscene Literature and Articles of Immoral Use", dies.</w:t>
      </w:r>
    </w:p>
    <w:p w14:paraId="366CCE47" w14:textId="77777777" w:rsidR="004F6961" w:rsidRPr="00EA36EE" w:rsidRDefault="004F6961" w:rsidP="004F6961">
      <w:pPr>
        <w:spacing w:line="360" w:lineRule="auto"/>
        <w:jc w:val="both"/>
        <w:rPr>
          <w:rFonts w:ascii="Arial" w:hAnsi="Arial" w:cs="Arial"/>
          <w:sz w:val="30"/>
          <w:szCs w:val="30"/>
          <w:lang w:eastAsia="en-AU"/>
        </w:rPr>
      </w:pPr>
    </w:p>
    <w:p w14:paraId="29C37161" w14:textId="77777777" w:rsidR="009F784B" w:rsidRPr="00EA36EE" w:rsidRDefault="009F784B" w:rsidP="004F6961">
      <w:pPr>
        <w:spacing w:line="360" w:lineRule="auto"/>
        <w:jc w:val="both"/>
        <w:rPr>
          <w:rFonts w:ascii="Arial" w:hAnsi="Arial" w:cs="Arial"/>
          <w:i/>
          <w:iCs/>
          <w:sz w:val="30"/>
          <w:szCs w:val="30"/>
          <w:bdr w:val="none" w:sz="0" w:space="0" w:color="auto" w:frame="1"/>
          <w:lang w:eastAsia="en-AU"/>
        </w:rPr>
      </w:pPr>
      <w:r w:rsidRPr="00EA36EE">
        <w:rPr>
          <w:rFonts w:ascii="Arial" w:hAnsi="Arial" w:cs="Arial"/>
          <w:i/>
          <w:iCs/>
          <w:sz w:val="30"/>
          <w:szCs w:val="30"/>
          <w:bdr w:val="none" w:sz="0" w:space="0" w:color="auto" w:frame="1"/>
          <w:lang w:eastAsia="en-AU"/>
        </w:rPr>
        <w:t>In 1965</w:t>
      </w:r>
    </w:p>
    <w:p w14:paraId="07325BCE" w14:textId="77777777" w:rsidR="004F6961" w:rsidRPr="00EA36EE" w:rsidRDefault="004F6961" w:rsidP="004F6961">
      <w:pPr>
        <w:spacing w:line="360" w:lineRule="auto"/>
        <w:jc w:val="both"/>
        <w:rPr>
          <w:rFonts w:ascii="Arial" w:hAnsi="Arial" w:cs="Arial"/>
          <w:sz w:val="30"/>
          <w:szCs w:val="30"/>
          <w:lang w:eastAsia="en-AU"/>
        </w:rPr>
      </w:pPr>
    </w:p>
    <w:p w14:paraId="49E16B35" w14:textId="1D1B0EAB" w:rsidR="009F784B" w:rsidRPr="00EA36EE" w:rsidRDefault="00141048" w:rsidP="004F6961">
      <w:pPr>
        <w:spacing w:line="360" w:lineRule="auto"/>
        <w:jc w:val="both"/>
        <w:rPr>
          <w:rFonts w:ascii="Arial" w:hAnsi="Arial" w:cs="Arial"/>
          <w:color w:val="000000"/>
          <w:sz w:val="30"/>
          <w:szCs w:val="30"/>
          <w:shd w:val="clear" w:color="auto" w:fill="FFFFFF"/>
        </w:rPr>
      </w:pPr>
      <w:r w:rsidRPr="00EA36EE">
        <w:rPr>
          <w:rFonts w:ascii="Arial" w:hAnsi="Arial" w:cs="Arial"/>
          <w:sz w:val="30"/>
          <w:szCs w:val="30"/>
          <w:lang w:eastAsia="en-AU"/>
        </w:rPr>
        <w:t>On 28 October P</w:t>
      </w:r>
      <w:r w:rsidRPr="00EA36EE">
        <w:rPr>
          <w:rFonts w:ascii="Arial" w:hAnsi="Arial" w:cs="Arial"/>
          <w:sz w:val="30"/>
          <w:szCs w:val="30"/>
          <w:shd w:val="clear" w:color="auto" w:fill="EEEEEE"/>
        </w:rPr>
        <w:t xml:space="preserve">ope Paul VI issued a decree, Nostra </w:t>
      </w:r>
      <w:proofErr w:type="spellStart"/>
      <w:r w:rsidRPr="00EA36EE">
        <w:rPr>
          <w:rFonts w:ascii="Arial" w:hAnsi="Arial" w:cs="Arial"/>
          <w:sz w:val="30"/>
          <w:szCs w:val="30"/>
          <w:shd w:val="clear" w:color="auto" w:fill="EEEEEE"/>
        </w:rPr>
        <w:t>Aetate</w:t>
      </w:r>
      <w:proofErr w:type="spellEnd"/>
      <w:r w:rsidRPr="00EA36EE">
        <w:rPr>
          <w:rFonts w:ascii="Arial" w:hAnsi="Arial" w:cs="Arial"/>
          <w:sz w:val="30"/>
          <w:szCs w:val="30"/>
          <w:shd w:val="clear" w:color="auto" w:fill="EEEEEE"/>
        </w:rPr>
        <w:t>, absolving Jews of collective guilt for the crucifixion of Jesus Christ.</w:t>
      </w:r>
      <w:r w:rsidRPr="00EA36EE">
        <w:rPr>
          <w:rFonts w:ascii="Arial" w:hAnsi="Arial" w:cs="Arial"/>
          <w:sz w:val="30"/>
          <w:szCs w:val="30"/>
          <w:lang w:eastAsia="en-AU"/>
        </w:rPr>
        <w:t xml:space="preserve"> </w:t>
      </w:r>
      <w:r w:rsidR="009F784B" w:rsidRPr="00EA36EE">
        <w:rPr>
          <w:rFonts w:ascii="Arial" w:hAnsi="Arial" w:cs="Arial"/>
          <w:sz w:val="30"/>
          <w:szCs w:val="30"/>
          <w:lang w:eastAsia="en-AU"/>
        </w:rPr>
        <w:t>On 27 July,</w:t>
      </w:r>
      <w:r w:rsidR="009F784B" w:rsidRPr="00EA36EE">
        <w:rPr>
          <w:rFonts w:ascii="Arial" w:hAnsi="Arial" w:cs="Arial"/>
          <w:sz w:val="30"/>
          <w:szCs w:val="30"/>
          <w:shd w:val="clear" w:color="auto" w:fill="FFFFFF"/>
        </w:rPr>
        <w:t xml:space="preserve"> </w:t>
      </w:r>
      <w:r w:rsidR="00496CA2" w:rsidRPr="00EA36EE">
        <w:rPr>
          <w:rFonts w:ascii="Arial" w:hAnsi="Arial" w:cs="Arial"/>
          <w:sz w:val="30"/>
          <w:szCs w:val="30"/>
          <w:shd w:val="clear" w:color="auto" w:fill="FFFFFF"/>
        </w:rPr>
        <w:t xml:space="preserve">President </w:t>
      </w:r>
      <w:r w:rsidR="009F784B" w:rsidRPr="00EA36EE">
        <w:rPr>
          <w:rFonts w:ascii="Arial" w:hAnsi="Arial" w:cs="Arial"/>
          <w:sz w:val="30"/>
          <w:szCs w:val="30"/>
          <w:shd w:val="clear" w:color="auto" w:fill="FFFFFF"/>
        </w:rPr>
        <w:t xml:space="preserve">Johnson signed a bill requiring cigarette makers to print </w:t>
      </w:r>
      <w:r w:rsidR="009F784B" w:rsidRPr="00EA36EE">
        <w:rPr>
          <w:rFonts w:ascii="Arial" w:hAnsi="Arial" w:cs="Arial"/>
          <w:color w:val="000000"/>
          <w:sz w:val="30"/>
          <w:szCs w:val="30"/>
          <w:shd w:val="clear" w:color="auto" w:fill="FFFFFF"/>
        </w:rPr>
        <w:t>health warnings on all cigarette packages about the effects of smoking.</w:t>
      </w:r>
    </w:p>
    <w:p w14:paraId="31F8916E" w14:textId="77777777" w:rsidR="004F6961" w:rsidRPr="00EA36EE" w:rsidRDefault="004F6961" w:rsidP="004F6961">
      <w:pPr>
        <w:spacing w:line="360" w:lineRule="auto"/>
        <w:jc w:val="both"/>
        <w:rPr>
          <w:rFonts w:ascii="Arial" w:hAnsi="Arial" w:cs="Arial"/>
          <w:sz w:val="30"/>
          <w:szCs w:val="30"/>
          <w:lang w:eastAsia="en-AU"/>
        </w:rPr>
      </w:pPr>
    </w:p>
    <w:p w14:paraId="613FAECF" w14:textId="27EFE727" w:rsidR="0094776D" w:rsidRPr="00EA36EE" w:rsidRDefault="00E4242F" w:rsidP="004F6961">
      <w:pPr>
        <w:spacing w:line="360" w:lineRule="auto"/>
        <w:jc w:val="both"/>
        <w:rPr>
          <w:rFonts w:ascii="Arial" w:hAnsi="Arial" w:cs="Arial"/>
          <w:sz w:val="30"/>
          <w:szCs w:val="30"/>
          <w:lang w:eastAsia="en-AU"/>
        </w:rPr>
      </w:pPr>
      <w:r>
        <w:rPr>
          <w:rFonts w:ascii="Arial" w:hAnsi="Arial" w:cs="Arial"/>
          <w:sz w:val="30"/>
          <w:szCs w:val="30"/>
          <w:lang w:eastAsia="en-AU"/>
        </w:rPr>
        <w:pict w14:anchorId="799A0F87">
          <v:rect id="_x0000_i1025" style="width:148.95pt;height:.75pt" o:hrpct="330" o:hralign="center" o:hrstd="t" o:hr="t" fillcolor="#a0a0a0" stroked="f"/>
        </w:pict>
      </w:r>
    </w:p>
    <w:sectPr w:rsidR="0094776D" w:rsidRPr="00EA36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09828" w14:textId="77777777" w:rsidR="00E4242F" w:rsidRDefault="00E4242F" w:rsidP="009F784B">
      <w:pPr>
        <w:spacing w:after="0" w:line="240" w:lineRule="auto"/>
      </w:pPr>
      <w:r>
        <w:separator/>
      </w:r>
    </w:p>
  </w:endnote>
  <w:endnote w:type="continuationSeparator" w:id="0">
    <w:p w14:paraId="142F60D4" w14:textId="77777777" w:rsidR="00E4242F" w:rsidRDefault="00E4242F" w:rsidP="009F7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inion Pro SmBd">
    <w:altName w:val="Minion Pro SmBd"/>
    <w:panose1 w:val="00000000000000000000"/>
    <w:charset w:val="00"/>
    <w:family w:val="roman"/>
    <w:notTrueType/>
    <w:pitch w:val="default"/>
    <w:sig w:usb0="00000003" w:usb1="00000000" w:usb2="00000000" w:usb3="00000000" w:csb0="00000001" w:csb1="00000000"/>
  </w:font>
  <w:font w:name="Bauer Bodoni Std">
    <w:altName w:val="Bauer Bodoni Std"/>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 w:name="Minion Bold">
    <w:altName w:val="Minion 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B7DF5" w14:textId="77777777" w:rsidR="00E4242F" w:rsidRDefault="00E4242F" w:rsidP="009F784B">
      <w:pPr>
        <w:spacing w:after="0" w:line="240" w:lineRule="auto"/>
      </w:pPr>
      <w:r>
        <w:separator/>
      </w:r>
    </w:p>
  </w:footnote>
  <w:footnote w:type="continuationSeparator" w:id="0">
    <w:p w14:paraId="6DB0E997" w14:textId="77777777" w:rsidR="00E4242F" w:rsidRDefault="00E4242F" w:rsidP="009F784B">
      <w:pPr>
        <w:spacing w:after="0" w:line="240" w:lineRule="auto"/>
      </w:pPr>
      <w:r>
        <w:continuationSeparator/>
      </w:r>
    </w:p>
  </w:footnote>
  <w:footnote w:id="1">
    <w:p w14:paraId="3AADC17E" w14:textId="77777777" w:rsidR="009F784B" w:rsidRDefault="009F784B" w:rsidP="009F784B">
      <w:pPr>
        <w:pStyle w:val="FootnoteText"/>
      </w:pPr>
      <w:r>
        <w:rPr>
          <w:rStyle w:val="FootnoteReference"/>
        </w:rPr>
        <w:footnoteRef/>
      </w:r>
      <w:r>
        <w:t xml:space="preserve"> </w:t>
      </w:r>
      <w:r w:rsidRPr="00EF4ADF">
        <w:rPr>
          <w:rFonts w:cs="Helvetica"/>
          <w:sz w:val="18"/>
          <w:szCs w:val="18"/>
          <w:lang w:eastAsia="en-AU"/>
        </w:rPr>
        <w:t>Usually, the Flyer draws the references from timelines.ws or from en.wikipedia.org.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83B0D"/>
    <w:multiLevelType w:val="hybridMultilevel"/>
    <w:tmpl w:val="62605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D2133BA"/>
    <w:multiLevelType w:val="hybridMultilevel"/>
    <w:tmpl w:val="4B986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0DD76C1"/>
    <w:multiLevelType w:val="hybridMultilevel"/>
    <w:tmpl w:val="2382A850"/>
    <w:lvl w:ilvl="0" w:tplc="A96ADC0C">
      <w:start w:val="1"/>
      <w:numFmt w:val="bullet"/>
      <w:lvlText w:val="•"/>
      <w:lvlJc w:val="left"/>
      <w:pPr>
        <w:tabs>
          <w:tab w:val="num" w:pos="720"/>
        </w:tabs>
        <w:ind w:left="720" w:hanging="360"/>
      </w:pPr>
      <w:rPr>
        <w:rFonts w:ascii="Arial" w:hAnsi="Arial" w:hint="default"/>
      </w:rPr>
    </w:lvl>
    <w:lvl w:ilvl="1" w:tplc="31029F2E" w:tentative="1">
      <w:start w:val="1"/>
      <w:numFmt w:val="bullet"/>
      <w:lvlText w:val="•"/>
      <w:lvlJc w:val="left"/>
      <w:pPr>
        <w:tabs>
          <w:tab w:val="num" w:pos="1440"/>
        </w:tabs>
        <w:ind w:left="1440" w:hanging="360"/>
      </w:pPr>
      <w:rPr>
        <w:rFonts w:ascii="Arial" w:hAnsi="Arial" w:hint="default"/>
      </w:rPr>
    </w:lvl>
    <w:lvl w:ilvl="2" w:tplc="37ECE728" w:tentative="1">
      <w:start w:val="1"/>
      <w:numFmt w:val="bullet"/>
      <w:lvlText w:val="•"/>
      <w:lvlJc w:val="left"/>
      <w:pPr>
        <w:tabs>
          <w:tab w:val="num" w:pos="2160"/>
        </w:tabs>
        <w:ind w:left="2160" w:hanging="360"/>
      </w:pPr>
      <w:rPr>
        <w:rFonts w:ascii="Arial" w:hAnsi="Arial" w:hint="default"/>
      </w:rPr>
    </w:lvl>
    <w:lvl w:ilvl="3" w:tplc="75A2283C" w:tentative="1">
      <w:start w:val="1"/>
      <w:numFmt w:val="bullet"/>
      <w:lvlText w:val="•"/>
      <w:lvlJc w:val="left"/>
      <w:pPr>
        <w:tabs>
          <w:tab w:val="num" w:pos="2880"/>
        </w:tabs>
        <w:ind w:left="2880" w:hanging="360"/>
      </w:pPr>
      <w:rPr>
        <w:rFonts w:ascii="Arial" w:hAnsi="Arial" w:hint="default"/>
      </w:rPr>
    </w:lvl>
    <w:lvl w:ilvl="4" w:tplc="F7C0115C" w:tentative="1">
      <w:start w:val="1"/>
      <w:numFmt w:val="bullet"/>
      <w:lvlText w:val="•"/>
      <w:lvlJc w:val="left"/>
      <w:pPr>
        <w:tabs>
          <w:tab w:val="num" w:pos="3600"/>
        </w:tabs>
        <w:ind w:left="3600" w:hanging="360"/>
      </w:pPr>
      <w:rPr>
        <w:rFonts w:ascii="Arial" w:hAnsi="Arial" w:hint="default"/>
      </w:rPr>
    </w:lvl>
    <w:lvl w:ilvl="5" w:tplc="47808406" w:tentative="1">
      <w:start w:val="1"/>
      <w:numFmt w:val="bullet"/>
      <w:lvlText w:val="•"/>
      <w:lvlJc w:val="left"/>
      <w:pPr>
        <w:tabs>
          <w:tab w:val="num" w:pos="4320"/>
        </w:tabs>
        <w:ind w:left="4320" w:hanging="360"/>
      </w:pPr>
      <w:rPr>
        <w:rFonts w:ascii="Arial" w:hAnsi="Arial" w:hint="default"/>
      </w:rPr>
    </w:lvl>
    <w:lvl w:ilvl="6" w:tplc="64D0DA8C" w:tentative="1">
      <w:start w:val="1"/>
      <w:numFmt w:val="bullet"/>
      <w:lvlText w:val="•"/>
      <w:lvlJc w:val="left"/>
      <w:pPr>
        <w:tabs>
          <w:tab w:val="num" w:pos="5040"/>
        </w:tabs>
        <w:ind w:left="5040" w:hanging="360"/>
      </w:pPr>
      <w:rPr>
        <w:rFonts w:ascii="Arial" w:hAnsi="Arial" w:hint="default"/>
      </w:rPr>
    </w:lvl>
    <w:lvl w:ilvl="7" w:tplc="D716F946" w:tentative="1">
      <w:start w:val="1"/>
      <w:numFmt w:val="bullet"/>
      <w:lvlText w:val="•"/>
      <w:lvlJc w:val="left"/>
      <w:pPr>
        <w:tabs>
          <w:tab w:val="num" w:pos="5760"/>
        </w:tabs>
        <w:ind w:left="5760" w:hanging="360"/>
      </w:pPr>
      <w:rPr>
        <w:rFonts w:ascii="Arial" w:hAnsi="Arial" w:hint="default"/>
      </w:rPr>
    </w:lvl>
    <w:lvl w:ilvl="8" w:tplc="7C8A397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84B"/>
    <w:rsid w:val="00141048"/>
    <w:rsid w:val="00163648"/>
    <w:rsid w:val="00285A83"/>
    <w:rsid w:val="002C74FD"/>
    <w:rsid w:val="003778BC"/>
    <w:rsid w:val="00432D21"/>
    <w:rsid w:val="00496CA2"/>
    <w:rsid w:val="004F6961"/>
    <w:rsid w:val="00553BBD"/>
    <w:rsid w:val="0094776D"/>
    <w:rsid w:val="009F784B"/>
    <w:rsid w:val="00A648F7"/>
    <w:rsid w:val="00B376EB"/>
    <w:rsid w:val="00C121AE"/>
    <w:rsid w:val="00D21F7C"/>
    <w:rsid w:val="00E4242F"/>
    <w:rsid w:val="00EA36EE"/>
    <w:rsid w:val="00FD433D"/>
    <w:rsid w:val="00FD7D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EE322"/>
  <w15:chartTrackingRefBased/>
  <w15:docId w15:val="{9CB05701-F80E-4513-BA5D-622440F5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84B"/>
  </w:style>
  <w:style w:type="paragraph" w:styleId="Heading1">
    <w:name w:val="heading 1"/>
    <w:basedOn w:val="Normal"/>
    <w:link w:val="Heading1Char"/>
    <w:uiPriority w:val="9"/>
    <w:qFormat/>
    <w:rsid w:val="00FD43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285A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D43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85A8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85A8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784B"/>
    <w:rPr>
      <w:color w:val="0000FF"/>
      <w:u w:val="single"/>
    </w:rPr>
  </w:style>
  <w:style w:type="paragraph" w:styleId="FootnoteText">
    <w:name w:val="footnote text"/>
    <w:basedOn w:val="Normal"/>
    <w:link w:val="FootnoteTextChar"/>
    <w:uiPriority w:val="99"/>
    <w:semiHidden/>
    <w:unhideWhenUsed/>
    <w:rsid w:val="009F78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84B"/>
    <w:rPr>
      <w:sz w:val="20"/>
      <w:szCs w:val="20"/>
    </w:rPr>
  </w:style>
  <w:style w:type="character" w:styleId="FootnoteReference">
    <w:name w:val="footnote reference"/>
    <w:basedOn w:val="DefaultParagraphFont"/>
    <w:uiPriority w:val="99"/>
    <w:semiHidden/>
    <w:unhideWhenUsed/>
    <w:rsid w:val="009F784B"/>
    <w:rPr>
      <w:vertAlign w:val="superscript"/>
    </w:rPr>
  </w:style>
  <w:style w:type="character" w:styleId="FollowedHyperlink">
    <w:name w:val="FollowedHyperlink"/>
    <w:basedOn w:val="DefaultParagraphFont"/>
    <w:uiPriority w:val="99"/>
    <w:semiHidden/>
    <w:unhideWhenUsed/>
    <w:rsid w:val="009F784B"/>
    <w:rPr>
      <w:color w:val="954F72" w:themeColor="followedHyperlink"/>
      <w:u w:val="single"/>
    </w:rPr>
  </w:style>
  <w:style w:type="paragraph" w:styleId="ListParagraph">
    <w:name w:val="List Paragraph"/>
    <w:basedOn w:val="Normal"/>
    <w:uiPriority w:val="34"/>
    <w:qFormat/>
    <w:rsid w:val="00496CA2"/>
    <w:pPr>
      <w:ind w:left="720"/>
      <w:contextualSpacing/>
    </w:pPr>
  </w:style>
  <w:style w:type="paragraph" w:customStyle="1" w:styleId="Default">
    <w:name w:val="Default"/>
    <w:rsid w:val="00C121AE"/>
    <w:pPr>
      <w:autoSpaceDE w:val="0"/>
      <w:autoSpaceDN w:val="0"/>
      <w:adjustRightInd w:val="0"/>
      <w:spacing w:after="0" w:line="240" w:lineRule="auto"/>
    </w:pPr>
    <w:rPr>
      <w:rFonts w:ascii="Minion Pro SmBd" w:hAnsi="Minion Pro SmBd" w:cs="Minion Pro SmBd"/>
      <w:color w:val="000000"/>
      <w:sz w:val="24"/>
      <w:szCs w:val="24"/>
    </w:rPr>
  </w:style>
  <w:style w:type="paragraph" w:customStyle="1" w:styleId="Pa0">
    <w:name w:val="Pa0"/>
    <w:basedOn w:val="Default"/>
    <w:next w:val="Default"/>
    <w:uiPriority w:val="99"/>
    <w:rsid w:val="00C121AE"/>
    <w:pPr>
      <w:spacing w:line="241" w:lineRule="atLeast"/>
    </w:pPr>
    <w:rPr>
      <w:rFonts w:cstheme="minorBidi"/>
      <w:color w:val="auto"/>
    </w:rPr>
  </w:style>
  <w:style w:type="character" w:customStyle="1" w:styleId="A0">
    <w:name w:val="A0"/>
    <w:uiPriority w:val="99"/>
    <w:rsid w:val="00C121AE"/>
    <w:rPr>
      <w:rFonts w:cs="Minion Pro SmBd"/>
      <w:b/>
      <w:bCs/>
      <w:color w:val="000000"/>
      <w:sz w:val="28"/>
      <w:szCs w:val="28"/>
    </w:rPr>
  </w:style>
  <w:style w:type="paragraph" w:customStyle="1" w:styleId="Pa1">
    <w:name w:val="Pa1"/>
    <w:basedOn w:val="Default"/>
    <w:next w:val="Default"/>
    <w:uiPriority w:val="99"/>
    <w:rsid w:val="00C121AE"/>
    <w:pPr>
      <w:spacing w:line="241" w:lineRule="atLeast"/>
    </w:pPr>
    <w:rPr>
      <w:rFonts w:cstheme="minorBidi"/>
      <w:color w:val="auto"/>
    </w:rPr>
  </w:style>
  <w:style w:type="character" w:customStyle="1" w:styleId="A1">
    <w:name w:val="A1"/>
    <w:uiPriority w:val="99"/>
    <w:rsid w:val="00C121AE"/>
    <w:rPr>
      <w:rFonts w:ascii="Bauer Bodoni Std" w:hAnsi="Bauer Bodoni Std" w:cs="Bauer Bodoni Std"/>
      <w:b/>
      <w:bCs/>
      <w:i/>
      <w:iCs/>
      <w:color w:val="000000"/>
      <w:sz w:val="66"/>
      <w:szCs w:val="66"/>
    </w:rPr>
  </w:style>
  <w:style w:type="paragraph" w:customStyle="1" w:styleId="Pa3">
    <w:name w:val="Pa3"/>
    <w:basedOn w:val="Default"/>
    <w:next w:val="Default"/>
    <w:uiPriority w:val="99"/>
    <w:rsid w:val="00C121AE"/>
    <w:pPr>
      <w:spacing w:line="241" w:lineRule="atLeast"/>
    </w:pPr>
    <w:rPr>
      <w:rFonts w:cstheme="minorBidi"/>
      <w:color w:val="auto"/>
    </w:rPr>
  </w:style>
  <w:style w:type="character" w:customStyle="1" w:styleId="A5">
    <w:name w:val="A5"/>
    <w:uiPriority w:val="99"/>
    <w:rsid w:val="00C121AE"/>
    <w:rPr>
      <w:rFonts w:ascii="Minion Pro" w:hAnsi="Minion Pro" w:cs="Minion Pro"/>
      <w:b/>
      <w:bCs/>
      <w:i/>
      <w:iCs/>
      <w:color w:val="000000"/>
      <w:sz w:val="22"/>
      <w:szCs w:val="22"/>
    </w:rPr>
  </w:style>
  <w:style w:type="paragraph" w:customStyle="1" w:styleId="Pa5">
    <w:name w:val="Pa5"/>
    <w:basedOn w:val="Default"/>
    <w:next w:val="Default"/>
    <w:uiPriority w:val="99"/>
    <w:rsid w:val="00C121AE"/>
    <w:pPr>
      <w:spacing w:line="241" w:lineRule="atLeast"/>
    </w:pPr>
    <w:rPr>
      <w:rFonts w:cstheme="minorBidi"/>
      <w:color w:val="auto"/>
    </w:rPr>
  </w:style>
  <w:style w:type="character" w:customStyle="1" w:styleId="A6">
    <w:name w:val="A6"/>
    <w:uiPriority w:val="99"/>
    <w:rsid w:val="00C121AE"/>
    <w:rPr>
      <w:rFonts w:ascii="Gotham Medium" w:hAnsi="Gotham Medium" w:cs="Gotham Medium"/>
      <w:color w:val="000000"/>
      <w:sz w:val="12"/>
      <w:szCs w:val="12"/>
    </w:rPr>
  </w:style>
  <w:style w:type="paragraph" w:customStyle="1" w:styleId="Pa8">
    <w:name w:val="Pa8"/>
    <w:basedOn w:val="Default"/>
    <w:next w:val="Default"/>
    <w:uiPriority w:val="99"/>
    <w:rsid w:val="00C121AE"/>
    <w:pPr>
      <w:spacing w:line="241" w:lineRule="atLeast"/>
    </w:pPr>
    <w:rPr>
      <w:rFonts w:cstheme="minorBidi"/>
      <w:color w:val="auto"/>
    </w:rPr>
  </w:style>
  <w:style w:type="character" w:customStyle="1" w:styleId="A12">
    <w:name w:val="A12"/>
    <w:uiPriority w:val="99"/>
    <w:rsid w:val="00C121AE"/>
    <w:rPr>
      <w:rFonts w:ascii="Minion Bold" w:hAnsi="Minion Bold" w:cs="Minion Bold"/>
      <w:b/>
      <w:bCs/>
      <w:i/>
      <w:iCs/>
      <w:color w:val="000000"/>
    </w:rPr>
  </w:style>
  <w:style w:type="paragraph" w:styleId="NormalWeb">
    <w:name w:val="Normal (Web)"/>
    <w:basedOn w:val="Normal"/>
    <w:uiPriority w:val="99"/>
    <w:semiHidden/>
    <w:unhideWhenUsed/>
    <w:rsid w:val="00A648F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A648F7"/>
  </w:style>
  <w:style w:type="character" w:customStyle="1" w:styleId="Heading1Char">
    <w:name w:val="Heading 1 Char"/>
    <w:basedOn w:val="DefaultParagraphFont"/>
    <w:link w:val="Heading1"/>
    <w:uiPriority w:val="9"/>
    <w:rsid w:val="00FD433D"/>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semiHidden/>
    <w:rsid w:val="00FD433D"/>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iPriority w:val="99"/>
    <w:semiHidden/>
    <w:unhideWhenUsed/>
    <w:rsid w:val="00377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3778BC"/>
    <w:rPr>
      <w:rFonts w:ascii="Courier New" w:eastAsia="Times New Roman" w:hAnsi="Courier New" w:cs="Courier New"/>
      <w:sz w:val="20"/>
      <w:szCs w:val="20"/>
      <w:lang w:eastAsia="en-AU"/>
    </w:rPr>
  </w:style>
  <w:style w:type="character" w:customStyle="1" w:styleId="Heading2Char">
    <w:name w:val="Heading 2 Char"/>
    <w:basedOn w:val="DefaultParagraphFont"/>
    <w:link w:val="Heading2"/>
    <w:uiPriority w:val="9"/>
    <w:semiHidden/>
    <w:rsid w:val="00285A8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85A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85A83"/>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71503">
      <w:bodyDiv w:val="1"/>
      <w:marLeft w:val="0"/>
      <w:marRight w:val="0"/>
      <w:marTop w:val="0"/>
      <w:marBottom w:val="0"/>
      <w:divBdr>
        <w:top w:val="none" w:sz="0" w:space="0" w:color="auto"/>
        <w:left w:val="none" w:sz="0" w:space="0" w:color="auto"/>
        <w:bottom w:val="none" w:sz="0" w:space="0" w:color="auto"/>
        <w:right w:val="none" w:sz="0" w:space="0" w:color="auto"/>
      </w:divBdr>
    </w:div>
    <w:div w:id="287131216">
      <w:bodyDiv w:val="1"/>
      <w:marLeft w:val="0"/>
      <w:marRight w:val="0"/>
      <w:marTop w:val="0"/>
      <w:marBottom w:val="0"/>
      <w:divBdr>
        <w:top w:val="none" w:sz="0" w:space="0" w:color="auto"/>
        <w:left w:val="none" w:sz="0" w:space="0" w:color="auto"/>
        <w:bottom w:val="none" w:sz="0" w:space="0" w:color="auto"/>
        <w:right w:val="none" w:sz="0" w:space="0" w:color="auto"/>
      </w:divBdr>
    </w:div>
    <w:div w:id="1118642631">
      <w:bodyDiv w:val="1"/>
      <w:marLeft w:val="0"/>
      <w:marRight w:val="0"/>
      <w:marTop w:val="0"/>
      <w:marBottom w:val="0"/>
      <w:divBdr>
        <w:top w:val="none" w:sz="0" w:space="0" w:color="auto"/>
        <w:left w:val="none" w:sz="0" w:space="0" w:color="auto"/>
        <w:bottom w:val="none" w:sz="0" w:space="0" w:color="auto"/>
        <w:right w:val="none" w:sz="0" w:space="0" w:color="auto"/>
      </w:divBdr>
    </w:div>
    <w:div w:id="1659921806">
      <w:bodyDiv w:val="1"/>
      <w:marLeft w:val="0"/>
      <w:marRight w:val="0"/>
      <w:marTop w:val="0"/>
      <w:marBottom w:val="0"/>
      <w:divBdr>
        <w:top w:val="none" w:sz="0" w:space="0" w:color="auto"/>
        <w:left w:val="none" w:sz="0" w:space="0" w:color="auto"/>
        <w:bottom w:val="none" w:sz="0" w:space="0" w:color="auto"/>
        <w:right w:val="none" w:sz="0" w:space="0" w:color="auto"/>
      </w:divBdr>
      <w:divsChild>
        <w:div w:id="876551079">
          <w:marLeft w:val="0"/>
          <w:marRight w:val="0"/>
          <w:marTop w:val="0"/>
          <w:marBottom w:val="0"/>
          <w:divBdr>
            <w:top w:val="none" w:sz="0" w:space="0" w:color="auto"/>
            <w:left w:val="none" w:sz="0" w:space="0" w:color="auto"/>
            <w:bottom w:val="none" w:sz="0" w:space="0" w:color="auto"/>
            <w:right w:val="none" w:sz="0" w:space="0" w:color="auto"/>
          </w:divBdr>
        </w:div>
      </w:divsChild>
    </w:div>
    <w:div w:id="1686665824">
      <w:bodyDiv w:val="1"/>
      <w:marLeft w:val="0"/>
      <w:marRight w:val="0"/>
      <w:marTop w:val="0"/>
      <w:marBottom w:val="0"/>
      <w:divBdr>
        <w:top w:val="none" w:sz="0" w:space="0" w:color="auto"/>
        <w:left w:val="none" w:sz="0" w:space="0" w:color="auto"/>
        <w:bottom w:val="none" w:sz="0" w:space="0" w:color="auto"/>
        <w:right w:val="none" w:sz="0" w:space="0" w:color="auto"/>
      </w:divBdr>
    </w:div>
    <w:div w:id="1730692956">
      <w:bodyDiv w:val="1"/>
      <w:marLeft w:val="0"/>
      <w:marRight w:val="0"/>
      <w:marTop w:val="0"/>
      <w:marBottom w:val="0"/>
      <w:divBdr>
        <w:top w:val="none" w:sz="0" w:space="0" w:color="auto"/>
        <w:left w:val="none" w:sz="0" w:space="0" w:color="auto"/>
        <w:bottom w:val="none" w:sz="0" w:space="0" w:color="auto"/>
        <w:right w:val="none" w:sz="0" w:space="0" w:color="auto"/>
      </w:divBdr>
    </w:div>
    <w:div w:id="1789468920">
      <w:bodyDiv w:val="1"/>
      <w:marLeft w:val="0"/>
      <w:marRight w:val="0"/>
      <w:marTop w:val="0"/>
      <w:marBottom w:val="0"/>
      <w:divBdr>
        <w:top w:val="none" w:sz="0" w:space="0" w:color="auto"/>
        <w:left w:val="none" w:sz="0" w:space="0" w:color="auto"/>
        <w:bottom w:val="none" w:sz="0" w:space="0" w:color="auto"/>
        <w:right w:val="none" w:sz="0" w:space="0" w:color="auto"/>
      </w:divBdr>
    </w:div>
    <w:div w:id="1981034628">
      <w:bodyDiv w:val="1"/>
      <w:marLeft w:val="0"/>
      <w:marRight w:val="0"/>
      <w:marTop w:val="0"/>
      <w:marBottom w:val="0"/>
      <w:divBdr>
        <w:top w:val="none" w:sz="0" w:space="0" w:color="auto"/>
        <w:left w:val="none" w:sz="0" w:space="0" w:color="auto"/>
        <w:bottom w:val="none" w:sz="0" w:space="0" w:color="auto"/>
        <w:right w:val="none" w:sz="0" w:space="0" w:color="auto"/>
      </w:divBdr>
    </w:div>
    <w:div w:id="203091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istoryofemotions.org.au/media/255272/Abstract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e.edu.au/about-une/academic-schools/school-of-law/centenary-of-anzac-legal-history-symposiu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ents@sclqld.org.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esclh.blogspot.hk/2014/03/call-for-papers-conference-on-gazette.html"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F853-648D-4275-89B0-5C202314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7</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David Ash</cp:lastModifiedBy>
  <cp:revision>5</cp:revision>
  <dcterms:created xsi:type="dcterms:W3CDTF">2015-08-17T01:22:00Z</dcterms:created>
  <dcterms:modified xsi:type="dcterms:W3CDTF">2015-09-23T04:44:00Z</dcterms:modified>
</cp:coreProperties>
</file>